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62A9E">
      <w:pPr>
        <w:jc w:val="center"/>
        <w:rPr>
          <w:rFonts w:hint="eastAsia" w:ascii="方正小标宋简体" w:hAnsi="方正小标宋简体" w:eastAsia="方正小标宋简体" w:cs="方正小标宋简体"/>
          <w:szCs w:val="44"/>
          <w:highlight w:val="none"/>
          <w:lang w:eastAsia="zh-CN"/>
        </w:rPr>
      </w:pPr>
      <w:r>
        <w:fldChar w:fldCharType="end"/>
      </w:r>
      <w:r>
        <w:rPr>
          <w:rFonts w:hint="eastAsia" w:ascii="方正小标宋简体" w:hAnsi="方正小标宋简体" w:eastAsia="方正小标宋简体" w:cs="方正小标宋简体"/>
          <w:szCs w:val="44"/>
          <w:highlight w:val="none"/>
          <w:lang w:val="en-US" w:eastAsia="zh-CN"/>
        </w:rPr>
      </w:r>
      <w:bookmarkStart w:id="0" w:name="_Toc549254266"/>
      <w:r>
        <w:rPr>
          <w:rStyle w:val="15"/>
          <w:rFonts w:hint="eastAsia"/>
          <w:b w:val="0"/>
          <w:bCs/>
          <w:lang w:val="en-US" w:eastAsia="zh-CN"/>
        </w:rPr>
        <w:t>1.</w:t>
      </w:r>
      <w:r>
        <w:rPr>
          <w:rStyle w:val="15"/>
          <w:rFonts w:hint="eastAsia"/>
          <w:b w:val="0"/>
          <w:bCs/>
          <w:lang w:eastAsia="zh-CN"/>
        </w:rPr>
        <w:t>燃气企业经营合规指导手册</w:t>
      </w:r>
      <w:bookmarkEnd w:id="0"/>
    </w:p>
    <w:p w14:paraId="1196FD33">
      <w:pPr>
        <w:widowControl/>
        <w:spacing w:line="330" w:lineRule="atLeast"/>
        <w:jc w:val="left"/>
        <w:rPr>
          <w:rFonts w:hint="eastAsia" w:ascii="仿宋_GB2312" w:hAnsi="仿宋_GB2312" w:eastAsia="仿宋_GB2312" w:cs="仿宋_GB2312"/>
          <w:b/>
          <w:color w:val="000000"/>
          <w:kern w:val="0"/>
          <w:szCs w:val="21"/>
          <w:highlight w:val="none"/>
        </w:rPr>
      </w:pPr>
    </w:p>
    <w:p w14:paraId="48E5AF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000000"/>
          <w:kern w:val="0"/>
          <w:sz w:val="32"/>
          <w:szCs w:val="32"/>
          <w:highlight w:val="none"/>
          <w:lang w:eastAsia="zh-CN"/>
        </w:rPr>
      </w:pPr>
      <w:r>
        <w:rPr>
          <w:rFonts w:hint="eastAsia" w:ascii="黑体" w:hAnsi="黑体" w:eastAsia="黑体" w:cs="黑体"/>
          <w:b w:val="0"/>
          <w:bCs/>
          <w:color w:val="000000"/>
          <w:kern w:val="0"/>
          <w:sz w:val="32"/>
          <w:szCs w:val="32"/>
          <w:highlight w:val="none"/>
          <w:lang w:eastAsia="zh-CN"/>
        </w:rPr>
        <w:t>一、</w:t>
      </w:r>
      <w:r>
        <w:rPr>
          <w:rFonts w:hint="eastAsia" w:ascii="黑体" w:hAnsi="黑体" w:eastAsia="黑体" w:cs="黑体"/>
          <w:b w:val="0"/>
          <w:bCs/>
          <w:color w:val="000000"/>
          <w:kern w:val="0"/>
          <w:sz w:val="32"/>
          <w:szCs w:val="32"/>
          <w:highlight w:val="none"/>
        </w:rPr>
        <w:t>在本市行政区域内从事燃气经营活动</w:t>
      </w:r>
      <w:r>
        <w:rPr>
          <w:rFonts w:hint="eastAsia" w:ascii="黑体" w:hAnsi="黑体" w:eastAsia="黑体" w:cs="黑体"/>
          <w:b w:val="0"/>
          <w:bCs/>
          <w:color w:val="000000"/>
          <w:kern w:val="0"/>
          <w:sz w:val="32"/>
          <w:szCs w:val="32"/>
          <w:highlight w:val="none"/>
          <w:lang w:eastAsia="zh-CN"/>
        </w:rPr>
        <w:t>，应当具备什么资质和条件？</w:t>
      </w:r>
    </w:p>
    <w:p w14:paraId="4063C19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lang w:eastAsia="zh-CN"/>
        </w:rPr>
        <w:t>依据《</w:t>
      </w:r>
      <w:r>
        <w:rPr>
          <w:rFonts w:hint="eastAsia" w:ascii="仿宋_GB2312" w:hAnsi="仿宋_GB2312" w:eastAsia="仿宋_GB2312" w:cs="仿宋_GB2312"/>
          <w:b w:val="0"/>
          <w:bCs w:val="0"/>
          <w:color w:val="000000"/>
          <w:kern w:val="0"/>
          <w:sz w:val="32"/>
          <w:szCs w:val="32"/>
          <w:highlight w:val="none"/>
        </w:rPr>
        <w:t>北京市燃气管理条例</w:t>
      </w:r>
      <w:r>
        <w:rPr>
          <w:rFonts w:hint="eastAsia" w:ascii="仿宋_GB2312" w:hAnsi="仿宋_GB2312" w:eastAsia="仿宋_GB2312" w:cs="仿宋_GB2312"/>
          <w:b w:val="0"/>
          <w:bCs w:val="0"/>
          <w:color w:val="000000"/>
          <w:kern w:val="0"/>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rPr>
        <w:t>第十六条</w:t>
      </w:r>
      <w:r>
        <w:rPr>
          <w:rFonts w:hint="eastAsia" w:ascii="仿宋_GB2312" w:hAnsi="仿宋_GB2312" w:eastAsia="仿宋_GB2312" w:cs="仿宋_GB2312"/>
          <w:b w:val="0"/>
          <w:bCs w:val="0"/>
          <w:color w:val="000000"/>
          <w:kern w:val="0"/>
          <w:sz w:val="32"/>
          <w:szCs w:val="32"/>
          <w:highlight w:val="none"/>
          <w:lang w:eastAsia="zh-CN"/>
        </w:rPr>
        <w:t>规定，</w:t>
      </w:r>
      <w:r>
        <w:rPr>
          <w:rFonts w:hint="eastAsia" w:ascii="仿宋_GB2312" w:hAnsi="仿宋_GB2312" w:eastAsia="仿宋_GB2312" w:cs="仿宋_GB2312"/>
          <w:b w:val="0"/>
          <w:bCs w:val="0"/>
          <w:color w:val="000000"/>
          <w:kern w:val="0"/>
          <w:sz w:val="32"/>
          <w:szCs w:val="32"/>
          <w:highlight w:val="none"/>
        </w:rPr>
        <w:t>在本市行政区域内从事燃气经营活动的，应当取得区城市管理部门颁发的燃气经营许可证。取得燃气经营许可证应当具备下列条件：</w:t>
      </w:r>
    </w:p>
    <w:p w14:paraId="54DE73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(一)经依法登记的企业，并符合燃气发展规划的要求；</w:t>
      </w:r>
    </w:p>
    <w:p w14:paraId="5F6031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(二)有稳定和符合国家标准的燃气气源，并建立燃气气质检测制度；</w:t>
      </w:r>
    </w:p>
    <w:p w14:paraId="11DE220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(三)经营场所、燃气设施符合国家和本市的有关规定；场站内安装公共图像视频信息系统，并与有关部门联网，保持系统正常运行；</w:t>
      </w:r>
    </w:p>
    <w:p w14:paraId="0FEB68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(四)企业的主要负责人、安全生产管理人员以及运行、维护和抢修人员经专业培训并考核合格；</w:t>
      </w:r>
    </w:p>
    <w:p w14:paraId="5E00ED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(五)具有与业务规模相适应的偿债和抗风险能力；</w:t>
      </w:r>
    </w:p>
    <w:p w14:paraId="730492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(六)有完善的经营管理体系和安全管理制度；</w:t>
      </w:r>
    </w:p>
    <w:p w14:paraId="53F1C9F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(七)有健全的燃气应急预案，具有与供气规模相适应的抢险能力；</w:t>
      </w:r>
    </w:p>
    <w:p w14:paraId="5D56E4A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(八)有安全评价机构出具的安全评价报告，并达到安全运行的要求；</w:t>
      </w:r>
    </w:p>
    <w:p w14:paraId="468B51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(九)从事瓶装液化石油气供应经营活动的企业应当建立气瓶档案管理制度，其中从事充装作业的企业还应当建立气瓶充装质量保证体系，并具有残液回收处置措施。</w:t>
      </w:r>
    </w:p>
    <w:p w14:paraId="3D7306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区城市管理部门自受理燃气经营许可申请之日起十二个工作日内作出行政许可决定。燃气供应企业应当按照燃气经营许可决定的要求从事经营活动。</w:t>
      </w:r>
    </w:p>
    <w:p w14:paraId="373E41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二、</w:t>
      </w:r>
      <w:r>
        <w:rPr>
          <w:rFonts w:hint="eastAsia" w:ascii="黑体" w:hAnsi="黑体" w:eastAsia="黑体" w:cs="黑体"/>
          <w:b w:val="0"/>
          <w:bCs w:val="0"/>
          <w:color w:val="000000"/>
          <w:kern w:val="0"/>
          <w:sz w:val="32"/>
          <w:szCs w:val="32"/>
          <w:highlight w:val="none"/>
        </w:rPr>
        <w:t>燃气供应企业应当建立</w:t>
      </w:r>
      <w:r>
        <w:rPr>
          <w:rFonts w:hint="eastAsia" w:ascii="黑体" w:hAnsi="黑体" w:eastAsia="黑体" w:cs="黑体"/>
          <w:b w:val="0"/>
          <w:bCs w:val="0"/>
          <w:color w:val="000000"/>
          <w:kern w:val="0"/>
          <w:sz w:val="32"/>
          <w:szCs w:val="32"/>
          <w:highlight w:val="none"/>
          <w:lang w:eastAsia="zh-CN"/>
        </w:rPr>
        <w:t>什么制度？遵守什么规定？</w:t>
      </w:r>
    </w:p>
    <w:p w14:paraId="4BFF22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lang w:eastAsia="zh-CN"/>
        </w:rPr>
      </w:pPr>
      <w:r>
        <w:rPr>
          <w:rFonts w:hint="eastAsia" w:ascii="仿宋_GB2312" w:hAnsi="仿宋_GB2312" w:eastAsia="仿宋_GB2312" w:cs="仿宋_GB2312"/>
          <w:b w:val="0"/>
          <w:bCs w:val="0"/>
          <w:color w:val="000000"/>
          <w:kern w:val="0"/>
          <w:sz w:val="32"/>
          <w:szCs w:val="32"/>
          <w:highlight w:val="none"/>
          <w:lang w:eastAsia="zh-CN"/>
        </w:rPr>
        <w:t>依据《</w:t>
      </w:r>
      <w:r>
        <w:rPr>
          <w:rFonts w:hint="eastAsia" w:ascii="仿宋_GB2312" w:hAnsi="仿宋_GB2312" w:eastAsia="仿宋_GB2312" w:cs="仿宋_GB2312"/>
          <w:b w:val="0"/>
          <w:bCs w:val="0"/>
          <w:color w:val="000000"/>
          <w:kern w:val="0"/>
          <w:sz w:val="32"/>
          <w:szCs w:val="32"/>
          <w:highlight w:val="none"/>
        </w:rPr>
        <w:t>北京市燃气管理条例</w:t>
      </w:r>
      <w:r>
        <w:rPr>
          <w:rFonts w:hint="eastAsia" w:ascii="仿宋_GB2312" w:hAnsi="仿宋_GB2312" w:eastAsia="仿宋_GB2312" w:cs="仿宋_GB2312"/>
          <w:b w:val="0"/>
          <w:bCs w:val="0"/>
          <w:color w:val="000000"/>
          <w:kern w:val="0"/>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rPr>
        <w:t>第二十二</w:t>
      </w:r>
      <w:r>
        <w:rPr>
          <w:rFonts w:hint="eastAsia" w:ascii="仿宋_GB2312" w:hAnsi="仿宋_GB2312" w:eastAsia="仿宋_GB2312" w:cs="仿宋_GB2312"/>
          <w:b w:val="0"/>
          <w:bCs w:val="0"/>
          <w:color w:val="000000"/>
          <w:kern w:val="0"/>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rPr>
        <w:t>二十</w:t>
      </w:r>
      <w:r>
        <w:rPr>
          <w:rFonts w:hint="eastAsia" w:ascii="仿宋_GB2312" w:hAnsi="仿宋_GB2312" w:eastAsia="仿宋_GB2312" w:cs="仿宋_GB2312"/>
          <w:b w:val="0"/>
          <w:bCs w:val="0"/>
          <w:color w:val="000000"/>
          <w:kern w:val="0"/>
          <w:sz w:val="32"/>
          <w:szCs w:val="32"/>
          <w:highlight w:val="none"/>
          <w:lang w:eastAsia="zh-CN"/>
        </w:rPr>
        <w:t>三条规定，</w:t>
      </w:r>
      <w:r>
        <w:rPr>
          <w:rFonts w:hint="eastAsia" w:ascii="仿宋_GB2312" w:hAnsi="仿宋_GB2312" w:eastAsia="仿宋_GB2312" w:cs="仿宋_GB2312"/>
          <w:b w:val="0"/>
          <w:bCs w:val="0"/>
          <w:color w:val="000000"/>
          <w:kern w:val="0"/>
          <w:sz w:val="32"/>
          <w:szCs w:val="32"/>
          <w:highlight w:val="none"/>
        </w:rPr>
        <w:t>燃气供应企业应当</w:t>
      </w:r>
      <w:r>
        <w:rPr>
          <w:rFonts w:hint="eastAsia" w:ascii="仿宋_GB2312" w:hAnsi="仿宋_GB2312" w:eastAsia="仿宋_GB2312" w:cs="仿宋_GB2312"/>
          <w:b w:val="0"/>
          <w:bCs w:val="0"/>
          <w:color w:val="000000"/>
          <w:kern w:val="0"/>
          <w:sz w:val="32"/>
          <w:szCs w:val="32"/>
          <w:highlight w:val="none"/>
          <w:lang w:eastAsia="zh-CN"/>
        </w:rPr>
        <w:t>建立</w:t>
      </w:r>
      <w:r>
        <w:rPr>
          <w:rFonts w:hint="eastAsia" w:ascii="仿宋_GB2312" w:hAnsi="仿宋_GB2312" w:eastAsia="仿宋_GB2312" w:cs="仿宋_GB2312"/>
          <w:b w:val="0"/>
          <w:bCs w:val="0"/>
          <w:color w:val="000000"/>
          <w:kern w:val="0"/>
          <w:sz w:val="32"/>
          <w:szCs w:val="32"/>
          <w:highlight w:val="none"/>
        </w:rPr>
        <w:t>安全保障制度</w:t>
      </w:r>
      <w:r>
        <w:rPr>
          <w:rFonts w:hint="eastAsia" w:ascii="仿宋_GB2312" w:hAnsi="仿宋_GB2312" w:eastAsia="仿宋_GB2312" w:cs="仿宋_GB2312"/>
          <w:b w:val="0"/>
          <w:bCs w:val="0"/>
          <w:color w:val="000000"/>
          <w:kern w:val="0"/>
          <w:sz w:val="32"/>
          <w:szCs w:val="32"/>
          <w:highlight w:val="none"/>
          <w:lang w:eastAsia="zh-CN"/>
        </w:rPr>
        <w:t>、</w:t>
      </w:r>
      <w:r>
        <w:rPr>
          <w:rFonts w:hint="eastAsia" w:ascii="仿宋_GB2312" w:hAnsi="仿宋_GB2312" w:eastAsia="仿宋_GB2312" w:cs="仿宋_GB2312"/>
          <w:b w:val="0"/>
          <w:bCs w:val="0"/>
          <w:color w:val="000000"/>
          <w:kern w:val="0"/>
          <w:sz w:val="32"/>
          <w:szCs w:val="32"/>
          <w:highlight w:val="none"/>
        </w:rPr>
        <w:t>用户服务制度</w:t>
      </w:r>
      <w:r>
        <w:rPr>
          <w:rFonts w:hint="eastAsia" w:ascii="仿宋_GB2312" w:hAnsi="仿宋_GB2312" w:eastAsia="仿宋_GB2312" w:cs="仿宋_GB2312"/>
          <w:b w:val="0"/>
          <w:bCs w:val="0"/>
          <w:color w:val="000000"/>
          <w:kern w:val="0"/>
          <w:sz w:val="32"/>
          <w:szCs w:val="32"/>
          <w:highlight w:val="none"/>
          <w:lang w:eastAsia="zh-CN"/>
        </w:rPr>
        <w:t>，并遵守相关规定。</w:t>
      </w:r>
    </w:p>
    <w:p w14:paraId="389D37C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第二十二条</w:t>
      </w:r>
      <w:r>
        <w:rPr>
          <w:rFonts w:hint="eastAsia" w:ascii="仿宋_GB2312" w:hAnsi="仿宋_GB2312" w:eastAsia="仿宋_GB2312" w:cs="仿宋_GB2312"/>
          <w:b/>
          <w:bCs/>
          <w:color w:val="000000"/>
          <w:kern w:val="0"/>
          <w:sz w:val="32"/>
          <w:szCs w:val="32"/>
          <w:highlight w:val="none"/>
          <w:lang w:val="en-US" w:eastAsia="zh-CN"/>
        </w:rPr>
        <w:t xml:space="preserve"> </w:t>
      </w:r>
      <w:r>
        <w:rPr>
          <w:rFonts w:hint="eastAsia" w:ascii="仿宋_GB2312" w:hAnsi="仿宋_GB2312" w:eastAsia="仿宋_GB2312" w:cs="仿宋_GB2312"/>
          <w:b/>
          <w:bCs/>
          <w:color w:val="000000"/>
          <w:kern w:val="0"/>
          <w:sz w:val="32"/>
          <w:szCs w:val="32"/>
          <w:highlight w:val="none"/>
        </w:rPr>
        <w:t>燃气供应企业应当建立和完善各项安全保障制度，并遵守下列规定：</w:t>
      </w:r>
    </w:p>
    <w:p w14:paraId="31B7E76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(一)执行国家和本市对燃气设施运行、维护和抢修的有关规定；</w:t>
      </w:r>
    </w:p>
    <w:p w14:paraId="200922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(二)与气源供应企业签订长期和年度供应合同，明确供气保障方案；</w:t>
      </w:r>
    </w:p>
    <w:p w14:paraId="4DF9F7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(三)对承担管理责任的燃气设施进行维护、检修和检验，并根据生产运行状况，对燃气设施进行安全评估；</w:t>
      </w:r>
    </w:p>
    <w:p w14:paraId="19AB748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(四)具备维持正常运营和保障安全生产条件所需的资金投入；</w:t>
      </w:r>
    </w:p>
    <w:p w14:paraId="37687F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(五)建立员工岗位培训制度；</w:t>
      </w:r>
    </w:p>
    <w:p w14:paraId="7EDD7E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(六)因例行检修、更换设施等情况，需要临时调整供气量或者暂停供气时，应当提前四十八小时将作业时间和影响区域予以公告；</w:t>
      </w:r>
    </w:p>
    <w:p w14:paraId="44AD481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(七)按照国家和本市的有关规定向城市管理部门报告生产运营、安全生产和用户服务等情况；</w:t>
      </w:r>
    </w:p>
    <w:p w14:paraId="66328C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(八)因突发事件影响供气，应当按照燃气应急预案采取紧急措施并及时通知用户。</w:t>
      </w:r>
    </w:p>
    <w:p w14:paraId="5DFDF4E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bCs/>
          <w:color w:val="000000"/>
          <w:kern w:val="0"/>
          <w:sz w:val="32"/>
          <w:szCs w:val="32"/>
          <w:highlight w:val="none"/>
        </w:rPr>
        <w:t>第二十三条燃气供应企业应当建立健全用户服务制度，规范服务行为，并遵守下列规定：</w:t>
      </w:r>
    </w:p>
    <w:p w14:paraId="2D0DCF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(一)与用户签订供用气合同，明确双方的权利与义务；</w:t>
      </w:r>
    </w:p>
    <w:p w14:paraId="543AC8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(二)建立健全用户服务信息系统，完善用户服务档案；</w:t>
      </w:r>
    </w:p>
    <w:p w14:paraId="761A5E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(三)销售燃气符合国家和本市价格管理有关规定，并执行法定的价格干预措施、紧急措施；</w:t>
      </w:r>
    </w:p>
    <w:p w14:paraId="76FC81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(四)在业务受理场所公示业务流程、服务项目、服务承诺、作业标准、收费标准和服务受理、投诉电话等内容；向社会公布服务受理及投诉电话；</w:t>
      </w:r>
    </w:p>
    <w:p w14:paraId="0DAC97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(五)定期对用户的用气场所、燃气设施和用气设备免费进行入户安全检查，作好安全检查记录；发现存在安全隐患的，书面告知用户进行整改；</w:t>
      </w:r>
    </w:p>
    <w:p w14:paraId="23A1E3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(六)不得对用户投资建设的燃气工程指定设计单位或者施工单位，不得要求用户购买其指定经营者的产品；</w:t>
      </w:r>
    </w:p>
    <w:p w14:paraId="118129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rPr>
      </w:pPr>
      <w:r>
        <w:rPr>
          <w:rFonts w:hint="eastAsia" w:ascii="仿宋_GB2312" w:hAnsi="仿宋_GB2312" w:eastAsia="仿宋_GB2312" w:cs="仿宋_GB2312"/>
          <w:b w:val="0"/>
          <w:bCs w:val="0"/>
          <w:color w:val="000000"/>
          <w:kern w:val="0"/>
          <w:sz w:val="32"/>
          <w:szCs w:val="32"/>
          <w:highlight w:val="none"/>
        </w:rPr>
        <w:t>(七)对供应范围内的燃气用户进行技术指导和技术服务。</w:t>
      </w:r>
    </w:p>
    <w:p w14:paraId="6921AB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三、本市城管综合执法部门对燃气供应企业开展检查主要依据哪些法律法规？检查事项具体包括什么？</w:t>
      </w:r>
    </w:p>
    <w:p w14:paraId="26B9D4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本市市、区、街（乡镇）城管综合执法部门主要依据《中华人民共和国安全生产法》《北京市安全生产条例》《北京市生产经营单位安全生产主体责任规定》《北京市生产安全事故隐患排查治理办法》《城镇燃气管理条例》《北京市燃气管理条例》等法律法规规章，按照职责分工，对燃气供应企业是否落实安全生产责任、相关规定要求开展执法检查。</w:t>
      </w:r>
    </w:p>
    <w:p w14:paraId="4BF65F5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0"/>
          <w:sz w:val="32"/>
          <w:szCs w:val="32"/>
          <w:highlight w:val="none"/>
          <w:lang w:val="en-US" w:eastAsia="zh-CN"/>
        </w:rPr>
      </w:pPr>
      <w:r>
        <w:rPr>
          <w:rFonts w:hint="eastAsia" w:ascii="黑体" w:hAnsi="黑体" w:eastAsia="黑体" w:cs="黑体"/>
          <w:b w:val="0"/>
          <w:bCs w:val="0"/>
          <w:color w:val="000000"/>
          <w:kern w:val="0"/>
          <w:sz w:val="32"/>
          <w:szCs w:val="32"/>
          <w:highlight w:val="none"/>
          <w:lang w:val="en-US" w:eastAsia="zh-CN"/>
        </w:rPr>
        <w:t>四、城管综合执法部门检查发现燃气供应企业存在不符合规定要求的问题，会如何处置？</w:t>
      </w:r>
    </w:p>
    <w:p w14:paraId="4071D5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000000"/>
          <w:kern w:val="0"/>
          <w:sz w:val="32"/>
          <w:szCs w:val="32"/>
          <w:highlight w:val="none"/>
          <w:lang w:val="en-US" w:eastAsia="zh-CN"/>
        </w:rPr>
      </w:pPr>
      <w:r>
        <w:rPr>
          <w:rFonts w:hint="eastAsia" w:ascii="仿宋_GB2312" w:hAnsi="仿宋_GB2312" w:eastAsia="仿宋_GB2312" w:cs="仿宋_GB2312"/>
          <w:b w:val="0"/>
          <w:bCs w:val="0"/>
          <w:color w:val="000000"/>
          <w:kern w:val="0"/>
          <w:sz w:val="32"/>
          <w:szCs w:val="32"/>
          <w:highlight w:val="none"/>
          <w:lang w:val="en-US" w:eastAsia="zh-CN"/>
        </w:rPr>
        <w:t>城管综合执法部门坚持处罚与教育相结合，依据《中华人民共和国行政处罚法》及上述相关法律法规规章规定，依法采取责令改正、行政指导、立案查处等措施。</w:t>
      </w:r>
    </w:p>
    <w:sectPr>
      <w:footerReference r:id="rId3" w:type="default"/>
      <w:pgSz w:w="11906" w:h="16838"/>
      <w:pgMar w:top="2098" w:right="1474" w:bottom="1984" w:left="1587"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6020202030204"/>
    <w:charset w:val="01"/>
    <w:family w:val="swiss"/>
    <w:pitch w:val="default"/>
    <w:sig w:usb0="00000287" w:usb1="00000800" w:usb2="00000000" w:usb3="00000000" w:csb0="2000009F" w:csb1="DFD7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D803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5B42ED2">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762FD"/>
    <w:multiLevelType w:val="singleLevel"/>
    <w:tmpl w:val="F7F762F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B7F2F1"/>
    <w:rsid w:val="0CC755E2"/>
    <w:rsid w:val="0F9F2A4C"/>
    <w:rsid w:val="1BBEC7A4"/>
    <w:rsid w:val="1D6FF70B"/>
    <w:rsid w:val="1F2B629A"/>
    <w:rsid w:val="24FF2120"/>
    <w:rsid w:val="25BE643B"/>
    <w:rsid w:val="27DFC041"/>
    <w:rsid w:val="2A9D0A01"/>
    <w:rsid w:val="2AEBADB3"/>
    <w:rsid w:val="2BFF4946"/>
    <w:rsid w:val="2DFE0F8C"/>
    <w:rsid w:val="3565CD79"/>
    <w:rsid w:val="35FCFF10"/>
    <w:rsid w:val="36A6D55E"/>
    <w:rsid w:val="3BAC7C5C"/>
    <w:rsid w:val="3BBC674A"/>
    <w:rsid w:val="3BF416AB"/>
    <w:rsid w:val="3BFDEA43"/>
    <w:rsid w:val="3C7F98E1"/>
    <w:rsid w:val="3E1FA54A"/>
    <w:rsid w:val="3EFD4430"/>
    <w:rsid w:val="3F8B4FC5"/>
    <w:rsid w:val="3FA7ABD0"/>
    <w:rsid w:val="3FBF4CDF"/>
    <w:rsid w:val="3FDD8AA3"/>
    <w:rsid w:val="3FFEDBA0"/>
    <w:rsid w:val="439FD04C"/>
    <w:rsid w:val="47FF0D86"/>
    <w:rsid w:val="4DE3B6C9"/>
    <w:rsid w:val="4DF817C7"/>
    <w:rsid w:val="4FBF11CA"/>
    <w:rsid w:val="525E6FC2"/>
    <w:rsid w:val="5B73A2F8"/>
    <w:rsid w:val="5B7D1848"/>
    <w:rsid w:val="5BD794A9"/>
    <w:rsid w:val="5BED431F"/>
    <w:rsid w:val="5D33AC8E"/>
    <w:rsid w:val="5DFF29D8"/>
    <w:rsid w:val="5E53335D"/>
    <w:rsid w:val="5EDF6A05"/>
    <w:rsid w:val="5EEF3D09"/>
    <w:rsid w:val="5F57FD2E"/>
    <w:rsid w:val="5F7E87D2"/>
    <w:rsid w:val="5F9B0A6B"/>
    <w:rsid w:val="5FB3D3BA"/>
    <w:rsid w:val="63DA81F2"/>
    <w:rsid w:val="65A6BF47"/>
    <w:rsid w:val="65FF6660"/>
    <w:rsid w:val="67776069"/>
    <w:rsid w:val="67DF7863"/>
    <w:rsid w:val="67F276AE"/>
    <w:rsid w:val="67F73532"/>
    <w:rsid w:val="6AFDF892"/>
    <w:rsid w:val="6AFFE06F"/>
    <w:rsid w:val="6B3FA887"/>
    <w:rsid w:val="6DBD3066"/>
    <w:rsid w:val="6E1F60BE"/>
    <w:rsid w:val="6E6F1C9E"/>
    <w:rsid w:val="6E8D70F5"/>
    <w:rsid w:val="6ECDF070"/>
    <w:rsid w:val="6EF7C601"/>
    <w:rsid w:val="6EFF564E"/>
    <w:rsid w:val="6F5F9D80"/>
    <w:rsid w:val="6F971FDA"/>
    <w:rsid w:val="6FD563D1"/>
    <w:rsid w:val="6FEC7C70"/>
    <w:rsid w:val="6FF75988"/>
    <w:rsid w:val="6FFE6CF8"/>
    <w:rsid w:val="6FFF2C16"/>
    <w:rsid w:val="715F9859"/>
    <w:rsid w:val="71E636DE"/>
    <w:rsid w:val="72E352AD"/>
    <w:rsid w:val="72FD6BF7"/>
    <w:rsid w:val="74EF374B"/>
    <w:rsid w:val="75AFBAB5"/>
    <w:rsid w:val="76C8CABC"/>
    <w:rsid w:val="77172EB1"/>
    <w:rsid w:val="773AFD39"/>
    <w:rsid w:val="773DCA3F"/>
    <w:rsid w:val="77DA4C2E"/>
    <w:rsid w:val="77E71530"/>
    <w:rsid w:val="77FBE701"/>
    <w:rsid w:val="77FCE4DF"/>
    <w:rsid w:val="77FE3D34"/>
    <w:rsid w:val="79BB4FF3"/>
    <w:rsid w:val="7ABF1129"/>
    <w:rsid w:val="7ADBD0F8"/>
    <w:rsid w:val="7AF3D953"/>
    <w:rsid w:val="7B123F78"/>
    <w:rsid w:val="7BA7A394"/>
    <w:rsid w:val="7BDCA244"/>
    <w:rsid w:val="7BE994EF"/>
    <w:rsid w:val="7BEF10BB"/>
    <w:rsid w:val="7BFFA057"/>
    <w:rsid w:val="7CFCEFA7"/>
    <w:rsid w:val="7CFFD2E3"/>
    <w:rsid w:val="7D7973BC"/>
    <w:rsid w:val="7D7E70E8"/>
    <w:rsid w:val="7D9BD5CD"/>
    <w:rsid w:val="7D9F54B1"/>
    <w:rsid w:val="7DA74EB1"/>
    <w:rsid w:val="7DAF456A"/>
    <w:rsid w:val="7DCE06C5"/>
    <w:rsid w:val="7DEDB3BA"/>
    <w:rsid w:val="7DEEE6DB"/>
    <w:rsid w:val="7DFE61ED"/>
    <w:rsid w:val="7DFF48CB"/>
    <w:rsid w:val="7E6F3A42"/>
    <w:rsid w:val="7EAF78F8"/>
    <w:rsid w:val="7EFDB592"/>
    <w:rsid w:val="7EFDCB16"/>
    <w:rsid w:val="7F35659A"/>
    <w:rsid w:val="7F6773BB"/>
    <w:rsid w:val="7F7F70A1"/>
    <w:rsid w:val="7F9E0DF2"/>
    <w:rsid w:val="7F9F3AB7"/>
    <w:rsid w:val="7FAEE117"/>
    <w:rsid w:val="7FD72967"/>
    <w:rsid w:val="7FEA14D0"/>
    <w:rsid w:val="7FEBDD2D"/>
    <w:rsid w:val="7FEFFCE1"/>
    <w:rsid w:val="7FF74BBA"/>
    <w:rsid w:val="7FFE8868"/>
    <w:rsid w:val="7FFF057E"/>
    <w:rsid w:val="7FFF5CB2"/>
    <w:rsid w:val="7FFFBBF1"/>
    <w:rsid w:val="8F7DB08A"/>
    <w:rsid w:val="957BAF08"/>
    <w:rsid w:val="9ADFCDFB"/>
    <w:rsid w:val="9ECE4426"/>
    <w:rsid w:val="9FFD6B6A"/>
    <w:rsid w:val="A3FDD8FE"/>
    <w:rsid w:val="ABFFEFDF"/>
    <w:rsid w:val="AD38ADD9"/>
    <w:rsid w:val="ADBBBCAF"/>
    <w:rsid w:val="ADF7BC4D"/>
    <w:rsid w:val="AF543D7F"/>
    <w:rsid w:val="B2FEF3B6"/>
    <w:rsid w:val="B6F9E6EE"/>
    <w:rsid w:val="B77F4F2A"/>
    <w:rsid w:val="BB8FF927"/>
    <w:rsid w:val="BBBCD00C"/>
    <w:rsid w:val="BBFD50AC"/>
    <w:rsid w:val="BC87933E"/>
    <w:rsid w:val="BC8F1E0C"/>
    <w:rsid w:val="BDA563BF"/>
    <w:rsid w:val="BDECBAD7"/>
    <w:rsid w:val="BDF711B3"/>
    <w:rsid w:val="BDFF179E"/>
    <w:rsid w:val="BEB703CE"/>
    <w:rsid w:val="BEDF3A59"/>
    <w:rsid w:val="BEF726E4"/>
    <w:rsid w:val="BEFBD889"/>
    <w:rsid w:val="BF2B9E72"/>
    <w:rsid w:val="BFFD9DB5"/>
    <w:rsid w:val="BFFFCBD9"/>
    <w:rsid w:val="C3E38598"/>
    <w:rsid w:val="C7FF5AC1"/>
    <w:rsid w:val="C99B2FA8"/>
    <w:rsid w:val="CEA72F34"/>
    <w:rsid w:val="CF7E21AD"/>
    <w:rsid w:val="CFFBF263"/>
    <w:rsid w:val="D575DF9A"/>
    <w:rsid w:val="D63E43A7"/>
    <w:rsid w:val="D6F8B797"/>
    <w:rsid w:val="DADE5F3C"/>
    <w:rsid w:val="DBDE1C6E"/>
    <w:rsid w:val="DBFFA23A"/>
    <w:rsid w:val="DC3E88EC"/>
    <w:rsid w:val="DCF6A853"/>
    <w:rsid w:val="DD719765"/>
    <w:rsid w:val="DD9B66C1"/>
    <w:rsid w:val="DEDFE969"/>
    <w:rsid w:val="DF0B2EED"/>
    <w:rsid w:val="DF3733DD"/>
    <w:rsid w:val="DFBF40EE"/>
    <w:rsid w:val="DFFB5D4C"/>
    <w:rsid w:val="DFFBFB3B"/>
    <w:rsid w:val="DFFD3F8C"/>
    <w:rsid w:val="E4FF195C"/>
    <w:rsid w:val="E576E035"/>
    <w:rsid w:val="E5FF3F8B"/>
    <w:rsid w:val="E6CFB2CB"/>
    <w:rsid w:val="E6FFA8BB"/>
    <w:rsid w:val="E777B75B"/>
    <w:rsid w:val="E7FFE54E"/>
    <w:rsid w:val="EBFD3C99"/>
    <w:rsid w:val="EC7961C8"/>
    <w:rsid w:val="ECFE6206"/>
    <w:rsid w:val="ED3F30DC"/>
    <w:rsid w:val="ED7F7BDD"/>
    <w:rsid w:val="EE577713"/>
    <w:rsid w:val="EF2F7B84"/>
    <w:rsid w:val="EF9E7BD0"/>
    <w:rsid w:val="EFB3272C"/>
    <w:rsid w:val="EFB736AB"/>
    <w:rsid w:val="EFDB6171"/>
    <w:rsid w:val="EFDD32DA"/>
    <w:rsid w:val="EFFDCB13"/>
    <w:rsid w:val="F26D4053"/>
    <w:rsid w:val="F3BF2C41"/>
    <w:rsid w:val="F3F3D6EC"/>
    <w:rsid w:val="F3FD5CD2"/>
    <w:rsid w:val="F53D8A26"/>
    <w:rsid w:val="F67F317A"/>
    <w:rsid w:val="F6DBA4D0"/>
    <w:rsid w:val="F77E0F1C"/>
    <w:rsid w:val="F7AF03B6"/>
    <w:rsid w:val="F7BF98EC"/>
    <w:rsid w:val="F7BFDBB2"/>
    <w:rsid w:val="F7C7C05C"/>
    <w:rsid w:val="F7D4478C"/>
    <w:rsid w:val="F7FC82E6"/>
    <w:rsid w:val="F7FE977D"/>
    <w:rsid w:val="FAAEA9CB"/>
    <w:rsid w:val="FBA7A7CF"/>
    <w:rsid w:val="FBBB4648"/>
    <w:rsid w:val="FBE66A3F"/>
    <w:rsid w:val="FBEBB346"/>
    <w:rsid w:val="FBEEBDDC"/>
    <w:rsid w:val="FBF9FB4D"/>
    <w:rsid w:val="FBFF221E"/>
    <w:rsid w:val="FD377C6D"/>
    <w:rsid w:val="FD7DD5D7"/>
    <w:rsid w:val="FD7EB0D4"/>
    <w:rsid w:val="FD7F483B"/>
    <w:rsid w:val="FDBFC73D"/>
    <w:rsid w:val="FDD372F3"/>
    <w:rsid w:val="FDDB8F15"/>
    <w:rsid w:val="FDEBDDC0"/>
    <w:rsid w:val="FDED8CCB"/>
    <w:rsid w:val="FE7740BF"/>
    <w:rsid w:val="FEB9A232"/>
    <w:rsid w:val="FF3332C8"/>
    <w:rsid w:val="FF3BB781"/>
    <w:rsid w:val="FF4D1253"/>
    <w:rsid w:val="FF639566"/>
    <w:rsid w:val="FF7A9F1A"/>
    <w:rsid w:val="FFB7F2F1"/>
    <w:rsid w:val="FFCF6B16"/>
    <w:rsid w:val="FFDBC810"/>
    <w:rsid w:val="FFDF640A"/>
    <w:rsid w:val="FFEABFB5"/>
    <w:rsid w:val="FFEDB46B"/>
    <w:rsid w:val="FFEEF74A"/>
    <w:rsid w:val="FFF731C7"/>
    <w:rsid w:val="FFF8A999"/>
    <w:rsid w:val="FFF9CDD7"/>
    <w:rsid w:val="FFFBEFF5"/>
    <w:rsid w:val="FFFEF467"/>
    <w:rsid w:val="FFFFAD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3"/>
    <w:next w:val="1"/>
    <w:link w:val="15"/>
    <w:qFormat/>
    <w:uiPriority w:val="0"/>
    <w:pPr>
      <w:keepNext/>
      <w:keepLines/>
      <w:spacing w:before="100" w:beforeLines="0" w:beforeAutospacing="0" w:after="90" w:afterLines="0" w:afterAutospacing="0" w:line="576" w:lineRule="auto"/>
      <w:jc w:val="center"/>
      <w:outlineLvl w:val="0"/>
    </w:pPr>
    <w:rPr>
      <w:rFonts w:ascii="Arial" w:hAnsi="Arial" w:eastAsia="方正小标宋简体"/>
      <w:b w:val="0"/>
      <w:kern w:val="44"/>
      <w:sz w:val="44"/>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4">
    <w:name w:val="Body Text"/>
    <w:basedOn w:val="1"/>
    <w:next w:val="1"/>
    <w:qFormat/>
    <w:uiPriority w:val="0"/>
    <w:pPr>
      <w:ind w:left="114"/>
    </w:pPr>
    <w:rPr>
      <w:rFonts w:hint="eastAsia" w:eastAsia="宋体"/>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customStyle="1" w:styleId="11">
    <w:name w:val="大标题"/>
    <w:next w:val="1"/>
    <w:qFormat/>
    <w:uiPriority w:val="0"/>
    <w:pPr>
      <w:widowControl w:val="0"/>
      <w:spacing w:line="560" w:lineRule="exact"/>
      <w:jc w:val="center"/>
      <w:outlineLvl w:val="0"/>
    </w:pPr>
    <w:rPr>
      <w:rFonts w:ascii="方正小标宋简体" w:hAnsi="宋体" w:eastAsia="方正小标宋简体" w:cs="宋体"/>
      <w:snapToGrid w:val="0"/>
      <w:kern w:val="0"/>
      <w:sz w:val="44"/>
      <w:szCs w:val="20"/>
      <w:lang w:val="en-US" w:eastAsia="zh-CN" w:bidi="ar-SA"/>
    </w:rPr>
  </w:style>
  <w:style w:type="paragraph" w:customStyle="1" w:styleId="1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14">
    <w:name w:val="正文首行缩进2"/>
    <w:basedOn w:val="1"/>
    <w:qFormat/>
    <w:uiPriority w:val="0"/>
    <w:pPr>
      <w:ind w:firstLine="200" w:firstLineChars="200"/>
    </w:pPr>
    <w:rPr>
      <w:rFonts w:ascii="黑体" w:eastAsia="仿宋_GB2312" w:cs="宋体"/>
      <w:sz w:val="32"/>
      <w:szCs w:val="32"/>
    </w:rPr>
  </w:style>
  <w:style w:type="character" w:customStyle="1" w:styleId="15">
    <w:name w:val="标题 1 Char"/>
    <w:link w:val="2"/>
    <w:qFormat/>
    <w:uiPriority w:val="0"/>
    <w:rPr>
      <w:rFonts w:ascii="Arial" w:hAnsi="Arial" w:eastAsia="方正小标宋简体"/>
      <w:b/>
      <w:kern w:val="44"/>
      <w:sz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45</Pages>
  <Words>0</Words>
  <Characters>0</Characters>
  <Lines>0</Lines>
  <Paragraphs>0</Paragraphs>
  <TotalTime>0</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2026-06-29T14:50:00Z</dcterms:created>
  <dc:creator>uos</dc:creator>
  <cp:lastModifiedBy>UOS-PC</cp:lastModifiedBy>
  <cp:lastPrinted>2026-08-02T02:26:00Z</cp:lastPrinted>
  <dcterms:modified xsi:type="dcterms:W3CDTF">2026-10-21T08:52:20Z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70E45162A56213A915869A6A57488760_43</vt:lpwstr>
  </property>
</Properties>
</file>