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9AE5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0" w:lineRule="atLeast"/>
        <w:jc w:val="center"/>
        <w:textAlignment w:val="auto"/>
        <w:outlineLvl w:val="9"/>
        <w:rPr>
          <w:rFonts w:hint="eastAsia" w:ascii="方正小标宋简体" w:hAnsi="方正小标宋简体" w:eastAsia="方正小标宋简体" w:cs="方正小标宋简体"/>
          <w:b w:val="0"/>
          <w:color w:val="auto"/>
          <w:kern w:val="2"/>
          <w:sz w:val="44"/>
          <w:szCs w:val="44"/>
          <w:highlight w:val="none"/>
          <w:lang w:val="en-US" w:eastAsia="zh-CN" w:bidi="ar-SA"/>
        </w:rPr>
      </w:pPr>
      <w:r>
        <w:rPr>
          <w:rFonts w:hint="eastAsia" w:ascii="方正小标宋简体" w:hAnsi="方正小标宋简体" w:eastAsia="方正小标宋简体" w:cs="方正小标宋简体"/>
          <w:b w:val="0"/>
          <w:color w:val="auto"/>
          <w:kern w:val="2"/>
          <w:sz w:val="44"/>
          <w:szCs w:val="44"/>
          <w:highlight w:val="none"/>
          <w:lang w:val="en-US" w:eastAsia="zh-CN" w:bidi="ar-SA"/>
        </w:rPr>
      </w:r>
      <w:bookmarkStart w:id="7" w:name="_Toc41712092"/>
      <w:r>
        <w:rPr>
          <w:rFonts w:hint="eastAsia" w:ascii="方正小标宋简体" w:hAnsi="方正小标宋简体" w:eastAsia="方正小标宋简体" w:cs="方正小标宋简体"/>
          <w:b w:val="0"/>
          <w:color w:val="auto"/>
          <w:kern w:val="44"/>
          <w:sz w:val="44"/>
          <w:szCs w:val="24"/>
          <w:highlight w:val="none"/>
          <w:lang w:val="en-US" w:eastAsia="zh-CN" w:bidi="ar-SA"/>
        </w:rPr>
        <w:t>8.高耗水服务业节水合规指导</w:t>
      </w:r>
      <w:r>
        <w:rPr>
          <w:rFonts w:hint="eastAsia" w:ascii="方正小标宋简体" w:hAnsi="方正小标宋简体" w:eastAsia="方正小标宋简体" w:cs="方正小标宋简体"/>
          <w:sz w:val="44"/>
          <w:szCs w:val="24"/>
          <w:highlight w:val="none"/>
          <w:lang w:eastAsia="zh-CN"/>
        </w:rPr>
        <w:t>手册</w:t>
      </w:r>
      <w:bookmarkEnd w:id="7"/>
    </w:p>
    <w:p w14:paraId="7BC17820">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eastAsia" w:ascii="方正小标宋简体" w:hAnsi="方正小标宋简体" w:eastAsia="方正小标宋简体" w:cs="方正小标宋简体"/>
          <w:b w:val="0"/>
          <w:color w:val="auto"/>
          <w:kern w:val="2"/>
          <w:sz w:val="44"/>
          <w:szCs w:val="44"/>
          <w:highlight w:val="none"/>
          <w:lang w:val="en-US" w:eastAsia="zh-CN" w:bidi="ar-SA"/>
        </w:rPr>
      </w:pPr>
    </w:p>
    <w:p w14:paraId="2F5D32F2">
      <w:pPr>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本指导依据《北京市节水条例》《北京市重点服务行业节水行动方案》等法律法规及规范性文件编制，帮助高耗水服务业明确合规义务、防范常见违法风险。</w:t>
      </w:r>
    </w:p>
    <w:p w14:paraId="22FB0EAB">
      <w:pPr>
        <w:keepNext w:val="0"/>
        <w:keepLines w:val="0"/>
        <w:pageBreakBefore w:val="0"/>
        <w:widowControl/>
        <w:suppressAutoHyphens/>
        <w:kinsoku/>
        <w:wordWrap/>
        <w:overflowPunct/>
        <w:topLinePunct w:val="0"/>
        <w:autoSpaceDE/>
        <w:autoSpaceDN/>
        <w:bidi w:val="0"/>
        <w:adjustRightInd/>
        <w:snapToGrid/>
        <w:spacing w:line="560" w:lineRule="exact"/>
        <w:ind w:firstLine="2240" w:firstLineChars="700"/>
        <w:jc w:val="left"/>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第一部分：法律法规相关要求</w:t>
      </w:r>
    </w:p>
    <w:p w14:paraId="2E719B2B">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《北京市节水条例》第十四条： 市水务部门应当会同经济和信息化、商务等部门依照首都城市战略定位及水资源状况，制定本市高耗水工业和服务业行业目录。</w:t>
      </w:r>
    </w:p>
    <w:p w14:paraId="3C5CDA4D">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第三十七条第二款：本市严格限制高尔夫球场、高档洗浴场所等高耗水服务业发展。高尔夫球场、人造滑雪场等高耗水服务业应当充分使用雨水、再生水等非常规水源。</w:t>
      </w:r>
    </w:p>
    <w:p w14:paraId="4F4491A2">
      <w:pPr>
        <w:keepNext w:val="0"/>
        <w:keepLines w:val="0"/>
        <w:pageBreakBefore w:val="0"/>
        <w:widowControl/>
        <w:suppressAutoHyphens/>
        <w:kinsoku/>
        <w:wordWrap/>
        <w:overflowPunct/>
        <w:topLinePunct w:val="0"/>
        <w:autoSpaceDE/>
        <w:autoSpaceDN/>
        <w:bidi w:val="0"/>
        <w:adjustRightInd/>
        <w:snapToGrid/>
        <w:spacing w:line="560" w:lineRule="exact"/>
        <w:ind w:firstLine="2240" w:firstLineChars="700"/>
        <w:jc w:val="left"/>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第二部分：节水管理相关要求</w:t>
      </w:r>
    </w:p>
    <w:p w14:paraId="71707B8D">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一、节水宣传</w:t>
      </w:r>
    </w:p>
    <w:p w14:paraId="4ED54B3A">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开展节水宣贯培训、增强从业人员节水技能、提升节水管理水平；积极组织节水主题宣传活动，充分利用自有媒体资源，广泛开展宣传；加强重点用水部位节水提示，在用水显著位置张贴节水标识，提升节水意识。</w:t>
      </w:r>
    </w:p>
    <w:p w14:paraId="23A7DA2B">
      <w:pPr>
        <w:pageBreakBefore w:val="0"/>
        <w:numPr>
          <w:ilvl w:val="-1"/>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二、节水措施</w:t>
      </w:r>
    </w:p>
    <w:p w14:paraId="1027A0F7">
      <w:pPr>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实现分类计量缴费，严格落实特行水价。执行超定额用水累进加价制度。</w:t>
      </w:r>
    </w:p>
    <w:p w14:paraId="188F1F28">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加强水处理设施的建设。洗浴后的废水应优先考虑回收利用。淋浴器应安置冷、热水混合装置，宜采用智能控制开关。洗浴场所应采取换热方式保持池水温度并应设置循环过滤系统，不同使用功能的池浴应分别设置池水循环过滤系统；未接入市政（集中）排水管网的滑雪场，应建设污水处理和再生利用设施；高尔夫球场应收集其内的生活污水，建设污水处理回用设施。</w:t>
      </w:r>
    </w:p>
    <w:p w14:paraId="3C0B7D88">
      <w:pPr>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充分收集雨水、融雪水，加强非传统水源的利用。因地制宜，建设透水路面、下凹式绿地、雨水集蓄等雨水回收利用设施。高尔夫球场应收集利用降水，其内设置的湖泊、水塘应兼具贮蓄雨水的功能。雨雪水集蓄利用工程应包括集流工程、蓄水工程、供水和灌溉设施。滑雪道作为集流面时应设置截水沟，滑雪道侧面与底部设置汇水沟。单位内部的景观用水禁止使用地下水、自来水。</w:t>
      </w:r>
    </w:p>
    <w:p w14:paraId="7A9C1FB2">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推广使用高效节水灌溉措施。绿地灌溉应根据实际情况安装使用喷灌、微灌、滴灌等适宜的节水灌溉方式。滑雪道植被及高尔夫球场草坪宜采用非充分灌溉方式。高尔夫球场采用喷灌和微喷灌草坪的喷灌均匀系数应不低于0.80，喷灌、微喷灌灌-27-溉水利用系数应不低于 0.85，滴灌灌溉水利用系数应不低于0.90。</w:t>
      </w:r>
    </w:p>
    <w:p w14:paraId="08DD88E2">
      <w:pPr>
        <w:pageBreakBefore w:val="0"/>
        <w:numPr>
          <w:ilvl w:val="-1"/>
          <w:numId w:val="0"/>
        </w:numPr>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三、用水定额</w:t>
      </w:r>
    </w:p>
    <w:p w14:paraId="34A2E34A">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洗浴企业（场所）用水定额值应符合《用水定额 第 33 部分：沐浴》（DB11/T 1764.33-2021）规定，其中建筑面积≤2000m2为7.0m3/(m2˙a)，建筑面积2000—5000m2 为 5.0m3/(m2˙a)，建筑面积≥5000m2为4.5m3/(m2˙a)。</w:t>
      </w:r>
    </w:p>
    <w:p w14:paraId="03538309">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人工滑雪场用水定额值应符合</w:t>
      </w:r>
      <w:r>
        <w:rPr>
          <w:rFonts w:hint="eastAsia" w:ascii="仿宋_GB2312" w:hAnsi="仿宋_GB2312" w:eastAsia="仿宋_GB2312" w:cs="仿宋_GB2312"/>
          <w:sz w:val="32"/>
          <w:szCs w:val="32"/>
          <w:highlight w:val="none"/>
          <w:lang w:val="en-US" w:eastAsia="zh-CN"/>
        </w:rPr>
        <w:t>《用水定额第34部分：人工滑雪场》（DB11/T1764.34-2021）</w:t>
      </w:r>
      <w:r>
        <w:rPr>
          <w:rFonts w:hint="eastAsia" w:ascii="仿宋_GB2312" w:hAnsi="仿宋_GB2312" w:eastAsia="仿宋_GB2312" w:cs="仿宋_GB2312"/>
          <w:sz w:val="32"/>
          <w:szCs w:val="32"/>
          <w:highlight w:val="none"/>
          <w:lang w:eastAsia="zh-CN"/>
        </w:rPr>
        <w:t>的要求：单位雪道面积造雪取水量室内人工滑雪场为0.84m3/m2·a、室外人工滑雪场为 0.42m3/m2·a。</w:t>
      </w:r>
    </w:p>
    <w:p w14:paraId="72540C17">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高尔夫球场用水定额值应符合</w:t>
      </w:r>
      <w:r>
        <w:rPr>
          <w:rFonts w:hint="eastAsia" w:ascii="仿宋_GB2312" w:hAnsi="仿宋_GB2312" w:eastAsia="仿宋_GB2312" w:cs="仿宋_GB2312"/>
          <w:sz w:val="32"/>
          <w:szCs w:val="32"/>
          <w:highlight w:val="none"/>
          <w:lang w:val="en-US" w:eastAsia="zh-CN"/>
        </w:rPr>
        <w:t>DB11/T 1764.35-2020《用水定额 第 35 部分：高尔夫球场》</w:t>
      </w:r>
      <w:r>
        <w:rPr>
          <w:rFonts w:hint="eastAsia" w:ascii="仿宋_GB2312" w:hAnsi="仿宋_GB2312" w:eastAsia="仿宋_GB2312" w:cs="仿宋_GB2312"/>
          <w:sz w:val="32"/>
          <w:szCs w:val="32"/>
          <w:highlight w:val="none"/>
          <w:lang w:eastAsia="zh-CN"/>
        </w:rPr>
        <w:t>的要求，单位灌溉面积取水量为 0.48m3/m2·a。</w:t>
      </w:r>
    </w:p>
    <w:p w14:paraId="6A91ADBD">
      <w:pPr>
        <w:keepNext w:val="0"/>
        <w:keepLines w:val="0"/>
        <w:pageBreakBefore w:val="0"/>
        <w:widowControl/>
        <w:suppressAutoHyphens/>
        <w:kinsoku/>
        <w:wordWrap/>
        <w:overflowPunct/>
        <w:topLinePunct w:val="0"/>
        <w:autoSpaceDE/>
        <w:autoSpaceDN/>
        <w:bidi w:val="0"/>
        <w:adjustRightInd/>
        <w:snapToGrid/>
        <w:spacing w:line="560" w:lineRule="exact"/>
        <w:ind w:firstLine="2240" w:firstLineChars="700"/>
        <w:jc w:val="left"/>
        <w:textAlignment w:val="auto"/>
        <w:rPr>
          <w:rFonts w:hint="eastAsia" w:ascii="黑体" w:hAnsi="黑体" w:eastAsia="黑体" w:cs="黑体"/>
          <w:b w:val="0"/>
          <w:bCs/>
          <w:strike w:val="0"/>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第三部分：</w:t>
      </w:r>
      <w:r>
        <w:rPr>
          <w:rFonts w:hint="eastAsia" w:ascii="黑体" w:hAnsi="黑体" w:eastAsia="黑体" w:cs="黑体"/>
          <w:b w:val="0"/>
          <w:bCs/>
          <w:strike w:val="0"/>
          <w:color w:val="000000"/>
          <w:kern w:val="0"/>
          <w:sz w:val="32"/>
          <w:szCs w:val="32"/>
          <w:highlight w:val="none"/>
          <w:lang w:val="en-US" w:eastAsia="zh-CN" w:bidi="ar-SA"/>
        </w:rPr>
        <w:t>重点违法行为查处</w:t>
      </w:r>
    </w:p>
    <w:p w14:paraId="38A57149">
      <w:pPr>
        <w:pageBreakBefore w:val="0"/>
        <w:widowControl/>
        <w:numPr>
          <w:ilvl w:val="-1"/>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黑体" w:hAnsi="黑体" w:eastAsia="黑体" w:cs="黑体"/>
          <w:b w:val="0"/>
          <w:bCs/>
          <w:strike w:val="0"/>
          <w:color w:val="000000"/>
          <w:kern w:val="0"/>
          <w:sz w:val="32"/>
          <w:szCs w:val="32"/>
          <w:highlight w:val="none"/>
          <w:lang w:val="en-US" w:eastAsia="zh-CN" w:bidi="ar-SA"/>
        </w:rPr>
        <w:t>一、</w:t>
      </w:r>
      <w:r>
        <w:rPr>
          <w:rFonts w:hint="eastAsia" w:ascii="黑体" w:hAnsi="黑体" w:eastAsia="黑体" w:cs="黑体"/>
          <w:sz w:val="32"/>
          <w:szCs w:val="32"/>
          <w:highlight w:val="none"/>
          <w:lang w:eastAsia="zh-CN"/>
        </w:rPr>
        <w:t>法律依据</w:t>
      </w:r>
    </w:p>
    <w:p w14:paraId="42DDECF7">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1.《北京市节水条例》第六十二条：违反本条例第三十条第六项规定，非居民用水户未保障节水设施正常运行，造成浪费用水的，由水务部门责令限期改正；逾期不改正的，处五万元以下罚款。</w:t>
      </w:r>
    </w:p>
    <w:p w14:paraId="386B3898">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北京市节水条例》第六十四条第一款：违反本条例第三十五条第二款规定，园林绿化用水未采用节水灌溉方式或者未采取其他节水措施，造成浪费用水的，由水务部门责令限期改正；逾期不改正的，处一万元以上五万元以下罚款。</w:t>
      </w:r>
    </w:p>
    <w:p w14:paraId="2FE1B2C4">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3.《北京市节水条例》第六十四条第二款：违反本条例第三十五条第三款规定，住宅小区、单位内部的景观用水使用地下水、自来水的，由水务部门责令限期改正；逾期不改正的，处一万元以上三万元以下罚款。</w:t>
      </w:r>
    </w:p>
    <w:p w14:paraId="1B829792">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北京市节水条例》第六十五条第三款：违反本条例第三十六条第四款规定，现场制售饮用水的单位或者个人未安装尾水回收设施对尾水进行利用的，由水务部门责令限期改正；逾期不改正的，责令拆除，处五千元以上二万元以下罚款；未按照规定备案的，由卫生健康部门责令限期改正；逾期不改正的，处一千元以上五千元以下罚款。</w:t>
      </w:r>
    </w:p>
    <w:p w14:paraId="75D5B353">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5.《北京市节水条例》第六十六条：违反本条例第三十七条第一款规定，服务业用水单位未按照规定安装、使用循环用水设施的，由水务部门责令限期改正；逾期不改正的，处一千元以上一万元以下罚款。</w:t>
      </w:r>
    </w:p>
    <w:p w14:paraId="34D1E719">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北京市节水条例》第六十八条：违反本条例第三十九条第一款规定，从园林绿化、环境卫生、消防等公共用水设施非法用水的，由水务部门责令停止违法行为，对单位处一万元以上十万元以下罚款，对个人处一千元以上一万元以下罚款。</w:t>
      </w:r>
    </w:p>
    <w:p w14:paraId="68D50821">
      <w:pPr>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Cs/>
          <w:color w:val="000000"/>
          <w:kern w:val="0"/>
          <w:sz w:val="32"/>
          <w:szCs w:val="32"/>
          <w:highlight w:val="none"/>
          <w:lang w:eastAsia="zh-CN"/>
        </w:rPr>
      </w:pPr>
      <w:r>
        <w:rPr>
          <w:rFonts w:hint="eastAsia" w:ascii="黑体" w:hAnsi="黑体" w:eastAsia="黑体" w:cs="黑体"/>
          <w:bCs/>
          <w:color w:val="000000"/>
          <w:kern w:val="0"/>
          <w:sz w:val="32"/>
          <w:szCs w:val="32"/>
          <w:highlight w:val="none"/>
          <w:lang w:eastAsia="zh-CN"/>
        </w:rPr>
        <w:t>二、职权名称</w:t>
      </w:r>
    </w:p>
    <w:p w14:paraId="5D4AB361">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1.对非居民用水户未保障节水设施正常运行，造成浪费用水的行为进行处罚；</w:t>
      </w:r>
    </w:p>
    <w:p w14:paraId="7C0BF518">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2.对园林绿化用水未采用节水灌溉方式或者未采取其他节水措施，造成浪费用水的行为进行处罚；</w:t>
      </w:r>
    </w:p>
    <w:p w14:paraId="1BFD3CF8">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3.对住宅小区、单位内部的景观用水使用地下水、自来水的行为进行处罚；</w:t>
      </w:r>
    </w:p>
    <w:p w14:paraId="04CE8564">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4.对现场制售饮用水的单位或者个人未安装尾水回收设施对尾水进行利用的行为进行处罚；</w:t>
      </w:r>
    </w:p>
    <w:p w14:paraId="6B01F4B0">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5.对服务业用水单位未按照规定安装、使用循环用水设施的行为进行处罚</w:t>
      </w:r>
    </w:p>
    <w:p w14:paraId="1E69029B">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6.对从园林绿化、环境卫生、消防等公共用水设施非法用水的行为进行处罚</w:t>
      </w:r>
    </w:p>
    <w:p w14:paraId="0796849E">
      <w:pPr>
        <w:keepNext w:val="0"/>
        <w:keepLines w:val="0"/>
        <w:pageBreakBefore w:val="0"/>
        <w:widowControl/>
        <w:suppressAutoHyphens/>
        <w:kinsoku/>
        <w:wordWrap/>
        <w:overflowPunct/>
        <w:topLinePunct w:val="0"/>
        <w:autoSpaceDE/>
        <w:autoSpaceDN/>
        <w:bidi w:val="0"/>
        <w:adjustRightInd/>
        <w:snapToGrid/>
        <w:spacing w:line="560" w:lineRule="exact"/>
        <w:ind w:firstLine="3200" w:firstLineChars="1000"/>
        <w:jc w:val="both"/>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第四部分：常见问题</w:t>
      </w:r>
    </w:p>
    <w:p w14:paraId="1CD1B968">
      <w:pPr>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lang w:val="en-US" w:eastAsia="zh-CN"/>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1</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val="en-US" w:eastAsia="zh-CN"/>
        </w:rPr>
        <w:t>依据《北京市节水条例》，高档洗浴、人造滑雪场、高尔夫球场被划定为哪类用水行业，执行什么水价政策？</w:t>
      </w:r>
    </w:p>
    <w:p w14:paraId="04C37FB0">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三者均属于特殊用水行业，不执行普通居民、一般非居民水价，按照北京市规定的特殊行业专项水价计费（现行特殊用水水价160元/立方米）；同时实行用水定额管理，超定额部分累进加价。</w:t>
      </w:r>
    </w:p>
    <w:p w14:paraId="74B578A1">
      <w:pPr>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Q</w:t>
      </w:r>
      <w:r>
        <w:rPr>
          <w:rFonts w:hint="eastAsia" w:ascii="楷体_GB2312" w:hAnsi="楷体_GB2312" w:eastAsia="楷体_GB2312" w:cs="楷体_GB2312"/>
          <w:b/>
          <w:bCs w:val="0"/>
          <w:sz w:val="32"/>
          <w:szCs w:val="32"/>
          <w:highlight w:val="none"/>
          <w:lang w:val="en-US" w:eastAsia="zh-CN"/>
        </w:rPr>
        <w:t>2</w:t>
      </w:r>
      <w:r>
        <w:rPr>
          <w:rFonts w:hint="eastAsia" w:ascii="楷体_GB2312" w:hAnsi="楷体_GB2312" w:eastAsia="楷体_GB2312" w:cs="楷体_GB2312"/>
          <w:b/>
          <w:bCs w:val="0"/>
          <w:sz w:val="32"/>
          <w:szCs w:val="32"/>
          <w:highlight w:val="none"/>
        </w:rPr>
        <w:t>：</w:t>
      </w:r>
      <w:r>
        <w:rPr>
          <w:rFonts w:hint="eastAsia" w:ascii="楷体_GB2312" w:hAnsi="楷体_GB2312" w:eastAsia="楷体_GB2312" w:cs="楷体_GB2312"/>
          <w:b/>
          <w:bCs w:val="0"/>
          <w:sz w:val="32"/>
          <w:szCs w:val="32"/>
          <w:highlight w:val="none"/>
          <w:lang w:val="en-US" w:eastAsia="zh-CN"/>
        </w:rPr>
        <w:t>北京对新开办高档洗浴、人造滑雪场、高尔夫球场持何种准入态度？现有存量经营主体必须落实哪项水源利用硬性要求？</w:t>
      </w:r>
    </w:p>
    <w:p w14:paraId="6642117F">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准入层面：北京市禁止新开办高档洗浴业、人造滑雪场、高尔夫球场这类高耗水经营项目；存量主体硬性要求：高尔夫球场、人造滑雪场等高耗水服务业应当充分使用雨水、再生水等非常规水源，减少自来水取用；高档洗浴场所也要配套循环用水设施、降低新水消耗。 </w:t>
      </w:r>
    </w:p>
    <w:p w14:paraId="7361FC43">
      <w:pPr>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lang w:val="en-US" w:eastAsia="zh-CN"/>
        </w:rPr>
      </w:pPr>
      <w:r>
        <w:rPr>
          <w:rFonts w:hint="eastAsia" w:ascii="楷体_GB2312" w:hAnsi="楷体_GB2312" w:eastAsia="楷体_GB2312" w:cs="楷体_GB2312"/>
          <w:b/>
          <w:bCs w:val="0"/>
          <w:sz w:val="32"/>
          <w:szCs w:val="32"/>
          <w:highlight w:val="none"/>
          <w:lang w:val="en-US" w:eastAsia="zh-CN"/>
        </w:rPr>
        <w:t>Q3：一家高尔夫球场未建设雨水收集设施、全程取用自来水浇灌草坪，对照北京节水管理要求，存在哪些违规问题？</w:t>
      </w:r>
    </w:p>
    <w:p w14:paraId="621ABF61">
      <w:pPr>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未落实法规强制要求，没有优先使用再生水、雨水等非常规水源；2.未配套建设雨水蓄水设施，未制定专项节水方案，水务部门可依法督促限期整改；3未按要求落实服务业用水单位循环用水，节水改造的法定义务。</w:t>
      </w:r>
    </w:p>
    <w:p w14:paraId="72145A0D">
      <w:pPr>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_GB2312" w:hAnsi="楷体_GB2312" w:eastAsia="楷体_GB2312" w:cs="楷体_GB2312"/>
          <w:b/>
          <w:bCs w:val="0"/>
          <w:sz w:val="32"/>
          <w:szCs w:val="32"/>
          <w:highlight w:val="none"/>
          <w:lang w:val="en-US" w:eastAsia="zh-CN"/>
        </w:rPr>
      </w:pPr>
      <w:r>
        <w:rPr>
          <w:rFonts w:hint="eastAsia" w:ascii="楷体_GB2312" w:hAnsi="楷体_GB2312" w:eastAsia="楷体_GB2312" w:cs="楷体_GB2312"/>
          <w:b/>
          <w:bCs w:val="0"/>
          <w:sz w:val="32"/>
          <w:szCs w:val="32"/>
          <w:highlight w:val="none"/>
          <w:lang w:val="en-US" w:eastAsia="zh-CN"/>
        </w:rPr>
        <w:t>Q4：高档洗浴场所日常运营中，需要落实哪些节水管理举措才算合规？</w:t>
      </w:r>
    </w:p>
    <w:p w14:paraId="3B24123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i w:val="0"/>
          <w:iCs w:val="0"/>
          <w:caps w:val="0"/>
          <w:color w:val="232930"/>
          <w:spacing w:val="0"/>
          <w:kern w:val="0"/>
          <w:sz w:val="32"/>
          <w:szCs w:val="32"/>
          <w:highlight w:val="none"/>
          <w:shd w:val="clear" w:color="auto" w:fill="FFFFFF"/>
          <w:lang w:val="en-US" w:eastAsia="zh-CN" w:bidi="ar"/>
        </w:rPr>
        <w:t>1</w:t>
      </w:r>
      <w:r>
        <w:rPr>
          <w:rFonts w:hint="eastAsia" w:ascii="仿宋_GB2312" w:hAnsi="仿宋_GB2312" w:eastAsia="仿宋_GB2312" w:cs="仿宋_GB2312"/>
          <w:sz w:val="32"/>
          <w:szCs w:val="32"/>
          <w:highlight w:val="none"/>
          <w:lang w:val="en-US" w:eastAsia="zh-CN"/>
        </w:rPr>
        <w:t>.配套安装循环用水、节水型器具，淘汰高耗水老旧设备；2.单独装表计量，按特殊行业水价足额缴费，严禁混接居民用水管网；3.落实台账管理，定期检修设施杜绝跑冒滴漏；4.不得新增扩建高档洗浴业态；5.条件允许时回用洗浴处理后中水开展场地保洁等用途，降低自来水消耗量。</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