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194D7">
      <w:pPr>
        <w:pStyle w:val="2"/>
        <w:keepNext w:val="0"/>
        <w:keepLines w:val="0"/>
        <w:spacing w:before="0" w:beforeAutospacing="0" w:after="0" w:afterAutospacing="0" w:line="0" w:lineRule="atLeast"/>
        <w:jc w:val="center"/>
        <w:outlineLvl w:val="9"/>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b w:val="0"/>
          <w:color w:val="auto"/>
          <w:kern w:val="2"/>
          <w:sz w:val="44"/>
          <w:szCs w:val="44"/>
          <w:highlight w:val="none"/>
          <w:lang w:val="en-US" w:eastAsia="zh-CN" w:bidi="ar-SA"/>
        </w:rPr>
      </w:r>
      <w:bookmarkStart w:id="8" w:name="_Toc165322438"/>
      <w:r>
        <w:rPr>
          <w:rFonts w:hint="eastAsia" w:ascii="方正小标宋简体" w:hAnsi="方正小标宋简体" w:eastAsia="方正小标宋简体" w:cs="方正小标宋简体"/>
          <w:b w:val="0"/>
          <w:bCs w:val="0"/>
          <w:color w:val="auto"/>
          <w:kern w:val="44"/>
          <w:sz w:val="44"/>
          <w:szCs w:val="24"/>
          <w:highlight w:val="none"/>
          <w:lang w:val="en-US" w:eastAsia="zh-CN" w:bidi="ar-SA"/>
        </w:rPr>
        <w:t>9.生产建设项目水土保持合规指导</w:t>
      </w:r>
      <w:r>
        <w:rPr>
          <w:rFonts w:hint="eastAsia" w:ascii="方正小标宋简体" w:hAnsi="方正小标宋简体" w:eastAsia="方正小标宋简体" w:cs="方正小标宋简体"/>
          <w:b w:val="0"/>
          <w:bCs w:val="0"/>
          <w:sz w:val="44"/>
          <w:szCs w:val="24"/>
          <w:highlight w:val="none"/>
          <w:lang w:eastAsia="zh-CN"/>
        </w:rPr>
        <w:t>手册</w:t>
      </w:r>
      <w:bookmarkEnd w:id="8"/>
    </w:p>
    <w:p w14:paraId="6A0C0EA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14:paraId="6F51EAA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color w:val="000000"/>
          <w:kern w:val="0"/>
          <w:sz w:val="32"/>
          <w:szCs w:val="32"/>
          <w:highlight w:val="none"/>
          <w:lang w:val="en-US" w:eastAsia="zh-CN" w:bidi="ar-SA"/>
        </w:rPr>
      </w:pPr>
      <w:r>
        <w:rPr>
          <w:rFonts w:hint="eastAsia" w:ascii="仿宋_GB2312" w:hAnsi="仿宋_GB2312" w:eastAsia="仿宋_GB2312" w:cs="仿宋_GB2312"/>
          <w:sz w:val="32"/>
          <w:szCs w:val="32"/>
          <w:highlight w:val="none"/>
        </w:rPr>
        <w:t>本指导依据《中华人民共和国水土保持法》《北京市水土保持条例》《生产建设项目水土保持方案管理办法》（水利部令第53号）、《北京市生产建设项目水土保持方案管理规定（试行）》（京水务保〔2023〕17号）等法律法规及规范性文件编制，面向北京市行政区域内从事生产建设活动的单位和个人，重点围绕北京城管水务执法领域的水土保持合规要求，帮助生产建设单位理清手续办理流程、明确建设过程合规义务、防范常见违法风险。</w:t>
      </w:r>
    </w:p>
    <w:p w14:paraId="7C194182">
      <w:pPr>
        <w:keepNext w:val="0"/>
        <w:keepLines w:val="0"/>
        <w:pageBreakBefore w:val="0"/>
        <w:widowControl w:val="0"/>
        <w:suppressAutoHyphens/>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color w:val="000000"/>
          <w:kern w:val="0"/>
          <w:sz w:val="32"/>
          <w:szCs w:val="32"/>
          <w:highlight w:val="none"/>
          <w:lang w:val="en-US" w:eastAsia="zh-CN" w:bidi="ar-SA"/>
        </w:rPr>
      </w:pPr>
      <w:r>
        <w:rPr>
          <w:rFonts w:hint="eastAsia" w:ascii="黑体" w:hAnsi="黑体" w:eastAsia="黑体" w:cs="黑体"/>
          <w:b w:val="0"/>
          <w:bCs/>
          <w:color w:val="000000"/>
          <w:kern w:val="0"/>
          <w:sz w:val="32"/>
          <w:szCs w:val="32"/>
          <w:highlight w:val="none"/>
          <w:lang w:val="en-US" w:eastAsia="zh-CN" w:bidi="ar-SA"/>
        </w:rPr>
        <w:t>第一部分水土保持手续办理与建设过程合规要求</w:t>
      </w:r>
    </w:p>
    <w:p w14:paraId="68614A9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 w:val="0"/>
          <w:bCs/>
          <w:sz w:val="32"/>
          <w:szCs w:val="32"/>
          <w:highlight w:val="none"/>
          <w:lang w:eastAsia="zh-CN"/>
        </w:rPr>
        <w:t>一、</w:t>
      </w:r>
      <w:r>
        <w:rPr>
          <w:rFonts w:hint="eastAsia" w:ascii="黑体" w:hAnsi="黑体" w:eastAsia="黑体" w:cs="黑体"/>
          <w:b w:val="0"/>
          <w:bCs/>
          <w:sz w:val="32"/>
          <w:szCs w:val="32"/>
          <w:highlight w:val="none"/>
        </w:rPr>
        <w:t>编报范围与风险区域分类</w:t>
      </w:r>
    </w:p>
    <w:p w14:paraId="77024D9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北京市根据自然地理条件和水土流失敏感性分析，将全市划分为A、B、C、D四级水土流失风险区域，实行基于</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风险+信用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的差异化监管体系。</w:t>
      </w:r>
    </w:p>
    <w:p w14:paraId="0E1ADB74">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Cs/>
          <w:sz w:val="32"/>
          <w:szCs w:val="32"/>
          <w:highlight w:val="none"/>
        </w:rPr>
      </w:pPr>
      <w:r>
        <w:rPr>
          <w:rFonts w:hint="eastAsia" w:ascii="黑体" w:hAnsi="黑体" w:eastAsia="黑体" w:cs="黑体"/>
          <w:b w:val="0"/>
          <w:bCs/>
          <w:sz w:val="32"/>
          <w:szCs w:val="32"/>
          <w:highlight w:val="none"/>
          <w:lang w:eastAsia="zh-CN"/>
        </w:rPr>
        <w:t>二、</w:t>
      </w:r>
      <w:r>
        <w:rPr>
          <w:rFonts w:hint="eastAsia" w:ascii="黑体" w:hAnsi="黑体" w:eastAsia="黑体" w:cs="黑体"/>
          <w:b w:val="0"/>
          <w:bCs/>
          <w:sz w:val="32"/>
          <w:szCs w:val="32"/>
          <w:highlight w:val="none"/>
        </w:rPr>
        <w:t>北京市水土流失风险区域分布</w:t>
      </w:r>
    </w:p>
    <w:p w14:paraId="05A056C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京水务保〔2023〕17号附件《北京市生产建设项目水土流失风险分级表》，列明全市各区的风险级别及涉及的街道、镇。同一区内不同街道/镇可能分属不同级别，请根据项目具体地址对照确认。</w:t>
      </w:r>
    </w:p>
    <w:p w14:paraId="3D90E03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查询方式：可通过北京市水务局官网（swj.beijing.gov.cn）或北京市政务服务网搜索</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水土保持方案审批</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，根据项目地址确认所属风险区域。</w:t>
      </w:r>
    </w:p>
    <w:p w14:paraId="0D23C78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 w:val="0"/>
          <w:bCs/>
          <w:sz w:val="32"/>
          <w:szCs w:val="32"/>
          <w:highlight w:val="none"/>
          <w:lang w:eastAsia="zh-CN"/>
        </w:rPr>
        <w:t>三、</w:t>
      </w:r>
      <w:r>
        <w:rPr>
          <w:rFonts w:hint="eastAsia" w:ascii="黑体" w:hAnsi="黑体" w:eastAsia="黑体" w:cs="黑体"/>
          <w:b w:val="0"/>
          <w:bCs/>
          <w:sz w:val="32"/>
          <w:szCs w:val="32"/>
          <w:highlight w:val="none"/>
        </w:rPr>
        <w:t>分级审批</w:t>
      </w:r>
    </w:p>
    <w:p w14:paraId="7F223B0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北京市水土保持方案实行市、区两级分级审批：</w:t>
      </w:r>
      <w:r>
        <w:rPr>
          <w:rFonts w:hint="eastAsia" w:ascii="仿宋_GB2312" w:hAnsi="仿宋_GB2312" w:eastAsia="仿宋_GB2312" w:cs="仿宋_GB2312"/>
          <w:b/>
          <w:sz w:val="32"/>
          <w:szCs w:val="32"/>
          <w:highlight w:val="none"/>
        </w:rPr>
        <w:t>报告书审批权限：</w:t>
      </w:r>
      <w:r>
        <w:rPr>
          <w:rFonts w:hint="eastAsia" w:ascii="仿宋_GB2312" w:hAnsi="仿宋_GB2312" w:eastAsia="仿宋_GB2312" w:cs="仿宋_GB2312"/>
          <w:sz w:val="32"/>
          <w:szCs w:val="32"/>
          <w:highlight w:val="none"/>
        </w:rPr>
        <w:t>市政府或市政府有关部门审批、核准、备案的生产建设项目，其水土保持方案报告书由市水行政主管部门（北京市水务局）审批；区政府或区政府有关部门审批、核准、备案的生产建设项目，其水土保持方案报告书由项目所在区水行政主管部门（区水务局）审批。</w:t>
      </w:r>
    </w:p>
    <w:p w14:paraId="6E1E044A">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sz w:val="32"/>
          <w:szCs w:val="32"/>
          <w:highlight w:val="none"/>
        </w:rPr>
        <w:t>报告表审批权限：</w:t>
      </w:r>
      <w:r>
        <w:rPr>
          <w:rFonts w:hint="eastAsia" w:ascii="仿宋_GB2312" w:hAnsi="仿宋_GB2312" w:eastAsia="仿宋_GB2312" w:cs="仿宋_GB2312"/>
          <w:sz w:val="32"/>
          <w:szCs w:val="32"/>
          <w:highlight w:val="none"/>
        </w:rPr>
        <w:t>不跨区的生产建设项目水土保持方案报告表，无论市级还是区级立项，均由项目所在区水行政主管部门审批；跨区的生产建设项目水土保持方案报告表，由市水行政主管部门审批。</w:t>
      </w:r>
    </w:p>
    <w:p w14:paraId="23720B90">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sz w:val="32"/>
          <w:szCs w:val="32"/>
          <w:highlight w:val="none"/>
        </w:rPr>
        <w:t>特殊区域审批：</w:t>
      </w:r>
      <w:r>
        <w:rPr>
          <w:rFonts w:hint="eastAsia" w:ascii="仿宋_GB2312" w:hAnsi="仿宋_GB2312" w:eastAsia="仿宋_GB2312" w:cs="仿宋_GB2312"/>
          <w:sz w:val="32"/>
          <w:szCs w:val="32"/>
          <w:highlight w:val="none"/>
        </w:rPr>
        <w:t>中国（北京）自由贸易试验区内项目的水土保持方案监督管理工作由水土保持方案审批部门负责；北京城市副中心、北京经济技术开发区内项目由其管委会负责；北京大兴国际机场临空经济区内项目由大兴区水行政主管部门负责。重点功能区内的水土保持方案管理工作按照有关规定执行。</w:t>
      </w:r>
    </w:p>
    <w:p w14:paraId="15F2BAB0">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四、</w:t>
      </w:r>
      <w:r>
        <w:rPr>
          <w:rFonts w:hint="eastAsia" w:ascii="黑体" w:hAnsi="黑体" w:eastAsia="黑体" w:cs="黑体"/>
          <w:b w:val="0"/>
          <w:bCs/>
          <w:sz w:val="32"/>
          <w:szCs w:val="32"/>
          <w:highlight w:val="none"/>
        </w:rPr>
        <w:t>水土保持补偿费缴纳</w:t>
      </w:r>
    </w:p>
    <w:p w14:paraId="58D434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highlight w:val="none"/>
          <w:lang w:val="en-US" w:eastAsia="zh-CN" w:bidi="ar"/>
        </w:rPr>
      </w:pPr>
      <w:r>
        <w:rPr>
          <w:rFonts w:hint="eastAsia" w:ascii="仿宋_GB2312" w:hAnsi="仿宋_GB2312" w:eastAsia="仿宋_GB2312" w:cs="仿宋_GB2312"/>
          <w:kern w:val="0"/>
          <w:sz w:val="32"/>
          <w:szCs w:val="32"/>
          <w:highlight w:val="none"/>
          <w:lang w:val="en-US" w:eastAsia="zh-CN" w:bidi="ar"/>
        </w:rPr>
        <w:t>依据《北京市水土保持补偿费征收管理办法》等相关文件要求工前一次性缴纳水土保持补偿费。通过登录电子税务局或到国家税务总局北京市海淀区税务局综合服务厅，按照自核自缴方式办理水土保持补偿费缴纳或免缴申报。</w:t>
      </w:r>
    </w:p>
    <w:p w14:paraId="452B93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以下七种情形免征水土保持补偿费：</w:t>
      </w:r>
      <w:r>
        <w:rPr>
          <w:rFonts w:hint="eastAsia" w:ascii="仿宋_GB2312" w:hAnsi="仿宋_GB2312" w:eastAsia="仿宋_GB2312" w:cs="仿宋_GB2312"/>
          <w:sz w:val="32"/>
          <w:szCs w:val="32"/>
          <w:highlight w:val="none"/>
        </w:rPr>
        <w:t>建设学校、幼儿园、医院、养老服务设施、孤儿院、福利院等公益性工程项目的；农民依法利用农村集体土地新建、翻建自用住房的；按照相关规划开展小型农田水利建设、田间土地整治建设和农村集中供水工程建设的；建设保障性安居工程、市政生态环境保护基础设施项目的；建设军事设施的；按照水土保持规划开展水土流失治理活动的；法律、行政法规和国务院规定免征水土保持补偿费的其他情形。</w:t>
      </w:r>
    </w:p>
    <w:p w14:paraId="656F32B3">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outlineLvl w:val="9"/>
        <w:rPr>
          <w:rFonts w:hint="eastAsia" w:ascii="黑体" w:hAnsi="黑体" w:eastAsia="黑体" w:cs="黑体"/>
          <w:bCs/>
          <w:sz w:val="32"/>
          <w:szCs w:val="32"/>
          <w:highlight w:val="none"/>
        </w:rPr>
      </w:pPr>
      <w:r>
        <w:rPr>
          <w:rFonts w:hint="eastAsia" w:ascii="黑体" w:hAnsi="黑体" w:eastAsia="黑体" w:cs="黑体"/>
          <w:b w:val="0"/>
          <w:bCs/>
          <w:i w:val="0"/>
          <w:sz w:val="32"/>
          <w:szCs w:val="32"/>
          <w:highlight w:val="none"/>
          <w:lang w:eastAsia="zh-CN"/>
        </w:rPr>
        <w:t>五、</w:t>
      </w:r>
      <w:r>
        <w:rPr>
          <w:rFonts w:hint="eastAsia" w:ascii="黑体" w:hAnsi="黑体" w:eastAsia="黑体" w:cs="黑体"/>
          <w:b w:val="0"/>
          <w:bCs/>
          <w:sz w:val="32"/>
          <w:szCs w:val="32"/>
          <w:highlight w:val="none"/>
        </w:rPr>
        <w:t>水土保持监测与监理</w:t>
      </w:r>
    </w:p>
    <w:p w14:paraId="1A68F9D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编制水土保持方案</w:t>
      </w:r>
      <w:r>
        <w:rPr>
          <w:rFonts w:hint="eastAsia" w:ascii="仿宋_GB2312" w:hAnsi="仿宋_GB2312" w:eastAsia="仿宋_GB2312" w:cs="仿宋_GB2312"/>
          <w:b/>
          <w:sz w:val="32"/>
          <w:szCs w:val="32"/>
          <w:highlight w:val="none"/>
        </w:rPr>
        <w:t>报告书</w:t>
      </w:r>
      <w:r>
        <w:rPr>
          <w:rFonts w:hint="eastAsia" w:ascii="仿宋_GB2312" w:hAnsi="仿宋_GB2312" w:eastAsia="仿宋_GB2312" w:cs="仿宋_GB2312"/>
          <w:sz w:val="32"/>
          <w:szCs w:val="32"/>
          <w:highlight w:val="none"/>
        </w:rPr>
        <w:t>的生产建设项目，生产建设单位应当自行或者委托具备相应技术条件的机构开展水土保持监测工作，定期向水行政主管部门报送监测情况，同时报送土石方堆放、转运和综合利用等监测情况。生产建设项目应当依法开展水土保持监理工作，确保水土保持措施按照批准的方案和设计要求实施，质量达标。</w:t>
      </w:r>
    </w:p>
    <w:p w14:paraId="447240D3">
      <w:pPr>
        <w:keepNext w:val="0"/>
        <w:keepLines w:val="0"/>
        <w:pageBreakBefore w:val="0"/>
        <w:widowControl w:val="0"/>
        <w:suppressAutoHyphens/>
        <w:kinsoku/>
        <w:wordWrap/>
        <w:overflowPunct/>
        <w:topLinePunct w:val="0"/>
        <w:autoSpaceDE/>
        <w:autoSpaceDN/>
        <w:bidi w:val="0"/>
        <w:adjustRightInd/>
        <w:snapToGrid/>
        <w:spacing w:line="560" w:lineRule="exact"/>
        <w:ind w:firstLine="0" w:firstLineChars="0"/>
        <w:jc w:val="center"/>
        <w:textAlignment w:val="auto"/>
        <w:rPr>
          <w:rFonts w:hint="eastAsia" w:ascii="黑体" w:hAnsi="黑体" w:eastAsia="黑体" w:cs="黑体"/>
          <w:b w:val="0"/>
          <w:bCs/>
          <w:color w:val="000000"/>
          <w:kern w:val="0"/>
          <w:sz w:val="32"/>
          <w:szCs w:val="32"/>
          <w:highlight w:val="none"/>
          <w:lang w:val="en-US" w:eastAsia="zh-CN" w:bidi="ar-SA"/>
        </w:rPr>
      </w:pPr>
      <w:r>
        <w:rPr>
          <w:rFonts w:hint="eastAsia" w:ascii="黑体" w:hAnsi="黑体" w:eastAsia="黑体" w:cs="黑体"/>
          <w:b w:val="0"/>
          <w:bCs/>
          <w:color w:val="000000"/>
          <w:kern w:val="0"/>
          <w:sz w:val="32"/>
          <w:szCs w:val="32"/>
          <w:highlight w:val="none"/>
          <w:lang w:val="en-US" w:eastAsia="zh-CN" w:bidi="ar-SA"/>
        </w:rPr>
        <w:t>第二部分常见问题与合规风险问答</w:t>
      </w:r>
    </w:p>
    <w:p w14:paraId="4DFEBAA7">
      <w:pPr>
        <w:keepNext w:val="0"/>
        <w:keepLines w:val="0"/>
        <w:pageBreakBefore w:val="0"/>
        <w:widowControl w:val="0"/>
        <w:numPr>
          <w:ilvl w:val="-1"/>
          <w:numId w:val="0"/>
        </w:numPr>
        <w:kinsoku/>
        <w:wordWrap/>
        <w:overflowPunct/>
        <w:topLinePunct w:val="0"/>
        <w:autoSpaceDE/>
        <w:autoSpaceDN/>
        <w:bidi w:val="0"/>
        <w:adjustRightInd/>
        <w:snapToGrid/>
        <w:spacing w:beforeAutospacing="0" w:afterAutospacing="0" w:line="560" w:lineRule="exact"/>
        <w:ind w:firstLine="640" w:firstLineChars="200"/>
        <w:jc w:val="left"/>
        <w:textAlignment w:val="auto"/>
        <w:outlineLvl w:val="9"/>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一、手续办理类</w:t>
      </w:r>
    </w:p>
    <w:p w14:paraId="2FA7E7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Q1：我们的项目规模不大，是否需要办理水土保持手续？</w:t>
      </w:r>
    </w:p>
    <w:p w14:paraId="358851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sz w:val="32"/>
          <w:szCs w:val="32"/>
          <w:highlight w:val="none"/>
        </w:rPr>
        <w:t>是否需要办理取决于项目所在的水土流失风险区域：</w:t>
      </w:r>
      <w:r>
        <w:rPr>
          <w:rFonts w:hint="eastAsia" w:ascii="仿宋_GB2312" w:hAnsi="仿宋_GB2312" w:eastAsia="仿宋_GB2312" w:cs="仿宋_GB2312"/>
          <w:sz w:val="32"/>
          <w:szCs w:val="32"/>
          <w:highlight w:val="none"/>
        </w:rPr>
        <w:t>（1）位于A级低风险区域的项目，</w:t>
      </w:r>
      <w:r>
        <w:rPr>
          <w:rFonts w:hint="eastAsia" w:ascii="仿宋_GB2312" w:hAnsi="仿宋_GB2312" w:eastAsia="仿宋_GB2312" w:cs="仿宋_GB2312"/>
          <w:b w:val="0"/>
          <w:sz w:val="32"/>
          <w:szCs w:val="32"/>
          <w:highlight w:val="none"/>
        </w:rPr>
        <w:t>无需编制水土保持方案</w:t>
      </w:r>
      <w:r>
        <w:rPr>
          <w:rFonts w:hint="eastAsia" w:ascii="仿宋_GB2312" w:hAnsi="仿宋_GB2312" w:eastAsia="仿宋_GB2312" w:cs="仿宋_GB2312"/>
          <w:sz w:val="32"/>
          <w:szCs w:val="32"/>
          <w:highlight w:val="none"/>
        </w:rPr>
        <w:t>，但应按技术标准做好水土流失防治工作；（2）位于B、C、D区域（一般/较高/高风险）的项目，征占地面积不足0.5公顷且土石方挖填总量不足1000立方米的，无需编制；达到0.5公顷以上或1000立方米以上的，须编制报告表或报告书。</w:t>
      </w:r>
    </w:p>
    <w:p w14:paraId="51634B3F">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Q2：水土保持方案可以自己编制吗，还是必须委托第三方？</w:t>
      </w:r>
    </w:p>
    <w:p w14:paraId="1106C43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可以自行编制，也可以委托具备相应技术条件和能力的单位编制。法律法规未对编制单位设定资质要求，但编制单位应具备相应的技术能力，方案内容须符合法律法规和技术标准的要求。</w:t>
      </w:r>
    </w:p>
    <w:p w14:paraId="5A5FD2CA">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Q3：水土保持方案批准后超过3年才开工，需要重新办理吗？</w:t>
      </w:r>
    </w:p>
    <w:p w14:paraId="084848A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需要。水土保持方案自批准之日起满3年，生产建设项目方开工建设的，其水土保持方案应当报原审批部门重新审核。</w:t>
      </w:r>
    </w:p>
    <w:p w14:paraId="758D5486">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Q4：方案报告书和报告表有什么区别？为什么有的要技术评审有的不要？</w:t>
      </w:r>
    </w:p>
    <w:p w14:paraId="3681F9E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主要区别在于项目规模、审批方式和技术评审要求</w:t>
      </w:r>
      <w:r>
        <w:rPr>
          <w:rFonts w:hint="eastAsia" w:ascii="仿宋_GB2312" w:hAnsi="仿宋_GB2312" w:eastAsia="仿宋_GB2312" w:cs="仿宋_GB2312"/>
          <w:b w:val="0"/>
          <w:bCs w:val="0"/>
          <w:sz w:val="32"/>
          <w:szCs w:val="32"/>
          <w:highlight w:val="none"/>
        </w:rPr>
        <w:t>。北京市的分类标准为：位于B、C、D区域的项目，征占地面积5公顷以上或土石方挖填总量5万立方米以上的编制报告书；0.5至5公顷或1000立方米至5万立方米的编制报告表。A区项目无需编制。</w:t>
      </w:r>
    </w:p>
    <w:p w14:paraId="525C7E94">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Q5：在开发区内的项目，水土保持方案审批有什么便利？</w:t>
      </w:r>
    </w:p>
    <w:p w14:paraId="35849F0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在北京城市副中心、北京经济技术开发区等特殊区域内，水土保持方案监督管理工作由其管委会负责；北京大兴国际机场临空经济区内项目由大兴区水行政主管部门负责；中国（北京）自由贸易试验区内项目由水土保持方案审批部门负责。</w:t>
      </w:r>
    </w:p>
    <w:p w14:paraId="44142B0D">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left"/>
        <w:textAlignment w:val="auto"/>
        <w:outlineLvl w:val="9"/>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二、建设过程类</w:t>
      </w:r>
    </w:p>
    <w:p w14:paraId="6317A36F">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Q6：什么是</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rPr>
        <w:t>未批先建</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rPr>
        <w:t>？有什么后果？</w:t>
      </w:r>
    </w:p>
    <w:p w14:paraId="117AFEC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未批先建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是指依法应当编制水土保持方案的生产建设项目，未编制方案或方案未经水行政主管部门批准而擅自开工建设的行为。根据《水土保持法》第五十三条，水行政主管部门将责令停止违法行为，限期补办手续；逾期不补办手续的，处</w:t>
      </w:r>
      <w:r>
        <w:rPr>
          <w:rFonts w:hint="eastAsia" w:ascii="仿宋_GB2312" w:hAnsi="仿宋_GB2312" w:eastAsia="仿宋_GB2312" w:cs="仿宋_GB2312"/>
          <w:b w:val="0"/>
          <w:sz w:val="32"/>
          <w:szCs w:val="32"/>
          <w:highlight w:val="none"/>
        </w:rPr>
        <w:t>5万元以上50万元以下</w:t>
      </w:r>
      <w:r>
        <w:rPr>
          <w:rFonts w:hint="eastAsia" w:ascii="仿宋_GB2312" w:hAnsi="仿宋_GB2312" w:eastAsia="仿宋_GB2312" w:cs="仿宋_GB2312"/>
          <w:sz w:val="32"/>
          <w:szCs w:val="32"/>
          <w:highlight w:val="none"/>
        </w:rPr>
        <w:t>罚款；对直接负责的主管人员和其他直接责任人员依法给予处分。</w:t>
      </w:r>
    </w:p>
    <w:p w14:paraId="75494EAF">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Q7：施工过程中水土保持方案需要变更，该怎么处理？</w:t>
      </w:r>
    </w:p>
    <w:p w14:paraId="5BD8F67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项目地点、规模发生重大变化，或水土保持措施需要作出重大变更的，应当补充或修改方案并报原审批机关批准。未经批准擅自变更的，同样依据《水土保持法》第五十三条处理，处5万元以上50万元以下罚款。</w:t>
      </w:r>
    </w:p>
    <w:p w14:paraId="396FC858">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Q8：施工过程中土石方该怎么管理？能随便堆放吗？</w:t>
      </w:r>
    </w:p>
    <w:p w14:paraId="7B9FE44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不能随便堆放。生产建设单位应当承担土石方堆放、转运和综合利用等责任，采取现场堆放、适度调配、集中存放、临时防护等措施进行分类处理和综合利用。地表土应分层剥离，优先用于农业种植和园林绿化。在水土保持方案确定的专门存放地以外区域倾倒砂、石、土、矸石、尾矿、废渣等的，依据《水土保持法》第五十五条，将被责令停止违法行为，限期清理，按倾倒数量处</w:t>
      </w:r>
      <w:r>
        <w:rPr>
          <w:rFonts w:hint="eastAsia" w:ascii="仿宋_GB2312" w:hAnsi="仿宋_GB2312" w:eastAsia="仿宋_GB2312" w:cs="仿宋_GB2312"/>
          <w:b/>
          <w:sz w:val="32"/>
          <w:szCs w:val="32"/>
          <w:highlight w:val="none"/>
        </w:rPr>
        <w:t>每立方米10元以上20元以下</w:t>
      </w:r>
      <w:r>
        <w:rPr>
          <w:rFonts w:hint="eastAsia" w:ascii="仿宋_GB2312" w:hAnsi="仿宋_GB2312" w:eastAsia="仿宋_GB2312" w:cs="仿宋_GB2312"/>
          <w:sz w:val="32"/>
          <w:szCs w:val="32"/>
          <w:highlight w:val="none"/>
        </w:rPr>
        <w:t>罚款。</w:t>
      </w:r>
    </w:p>
    <w:p w14:paraId="0ADC4BA3">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w:t>
      </w:r>
      <w:r>
        <w:rPr>
          <w:rFonts w:hint="eastAsia" w:ascii="楷体_GB2312" w:hAnsi="楷体_GB2312" w:eastAsia="楷体_GB2312" w:cs="楷体_GB2312"/>
          <w:b/>
          <w:bCs/>
          <w:sz w:val="32"/>
          <w:szCs w:val="32"/>
          <w:highlight w:val="none"/>
          <w:lang w:val="en-US" w:eastAsia="zh-CN"/>
        </w:rPr>
        <w:t>9</w:t>
      </w:r>
      <w:r>
        <w:rPr>
          <w:rFonts w:hint="eastAsia" w:ascii="楷体_GB2312" w:hAnsi="楷体_GB2312" w:eastAsia="楷体_GB2312" w:cs="楷体_GB2312"/>
          <w:b/>
          <w:bCs/>
          <w:sz w:val="32"/>
          <w:szCs w:val="32"/>
          <w:highlight w:val="none"/>
        </w:rPr>
        <w:t>：什么是</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rPr>
        <w:t>三同时</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rPr>
        <w:t>制度？不落实有什么后果？</w:t>
      </w:r>
    </w:p>
    <w:p w14:paraId="55689F0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三同时</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指水土保持设施应当与主体工程</w:t>
      </w:r>
      <w:r>
        <w:rPr>
          <w:rFonts w:hint="eastAsia" w:ascii="仿宋_GB2312" w:hAnsi="仿宋_GB2312" w:eastAsia="仿宋_GB2312" w:cs="仿宋_GB2312"/>
          <w:b/>
          <w:sz w:val="32"/>
          <w:szCs w:val="32"/>
          <w:highlight w:val="none"/>
        </w:rPr>
        <w:t>同时设计、同时施工、同时投产使用</w:t>
      </w:r>
      <w:r>
        <w:rPr>
          <w:rFonts w:hint="eastAsia" w:ascii="仿宋_GB2312" w:hAnsi="仿宋_GB2312" w:eastAsia="仿宋_GB2312" w:cs="仿宋_GB2312"/>
          <w:sz w:val="32"/>
          <w:szCs w:val="32"/>
          <w:highlight w:val="none"/>
        </w:rPr>
        <w:t>。未将水土保持设施纳入项目主体工程设计的，依据《北京市水土保持条例》第三十七条，由水行政部门责令改正，处</w:t>
      </w:r>
      <w:r>
        <w:rPr>
          <w:rFonts w:hint="eastAsia" w:ascii="仿宋_GB2312" w:hAnsi="仿宋_GB2312" w:eastAsia="仿宋_GB2312" w:cs="仿宋_GB2312"/>
          <w:b/>
          <w:sz w:val="32"/>
          <w:szCs w:val="32"/>
          <w:highlight w:val="none"/>
        </w:rPr>
        <w:t>5万元以上50万元以下</w:t>
      </w:r>
      <w:r>
        <w:rPr>
          <w:rFonts w:hint="eastAsia" w:ascii="仿宋_GB2312" w:hAnsi="仿宋_GB2312" w:eastAsia="仿宋_GB2312" w:cs="仿宋_GB2312"/>
          <w:sz w:val="32"/>
          <w:szCs w:val="32"/>
          <w:highlight w:val="none"/>
        </w:rPr>
        <w:t>罚款。</w:t>
      </w:r>
    </w:p>
    <w:p w14:paraId="59BD495D">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sz w:val="32"/>
          <w:szCs w:val="32"/>
          <w:highlight w:val="none"/>
        </w:rPr>
        <w:t>Q1</w:t>
      </w:r>
      <w:r>
        <w:rPr>
          <w:rFonts w:hint="eastAsia" w:ascii="仿宋_GB2312" w:hAnsi="仿宋_GB2312" w:eastAsia="仿宋_GB2312" w:cs="仿宋_GB2312"/>
          <w:b/>
          <w:sz w:val="32"/>
          <w:szCs w:val="32"/>
          <w:highlight w:val="none"/>
          <w:lang w:val="en-US" w:eastAsia="zh-CN"/>
        </w:rPr>
        <w:t>0</w:t>
      </w:r>
      <w:r>
        <w:rPr>
          <w:rFonts w:hint="eastAsia" w:ascii="仿宋_GB2312" w:hAnsi="仿宋_GB2312" w:eastAsia="仿宋_GB2312" w:cs="仿宋_GB2312"/>
          <w:b/>
          <w:sz w:val="32"/>
          <w:szCs w:val="32"/>
          <w:highlight w:val="none"/>
        </w:rPr>
        <w:t>：水土保持方案批准文件需要在施工现场公示吗？</w:t>
      </w:r>
    </w:p>
    <w:p w14:paraId="1B467D3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需要。经批准的水土保持方案由水行政部门通过互联网进行公示，相关批准文件应当由生产建设单位在</w:t>
      </w:r>
      <w:r>
        <w:rPr>
          <w:rFonts w:hint="eastAsia" w:ascii="仿宋_GB2312" w:hAnsi="仿宋_GB2312" w:eastAsia="仿宋_GB2312" w:cs="仿宋_GB2312"/>
          <w:b/>
          <w:sz w:val="32"/>
          <w:szCs w:val="32"/>
          <w:highlight w:val="none"/>
        </w:rPr>
        <w:t>施工场所显著位置</w:t>
      </w:r>
      <w:r>
        <w:rPr>
          <w:rFonts w:hint="eastAsia" w:ascii="仿宋_GB2312" w:hAnsi="仿宋_GB2312" w:eastAsia="仿宋_GB2312" w:cs="仿宋_GB2312"/>
          <w:sz w:val="32"/>
          <w:szCs w:val="32"/>
          <w:highlight w:val="none"/>
        </w:rPr>
        <w:t>进行公示。未公示的，可能被要求整改。</w:t>
      </w:r>
    </w:p>
    <w:p w14:paraId="7D9FD3D6">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left"/>
        <w:textAlignment w:val="auto"/>
        <w:outlineLvl w:val="9"/>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三、监测与验收类</w:t>
      </w:r>
    </w:p>
    <w:p w14:paraId="1FD33618">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Q1</w:t>
      </w:r>
      <w:r>
        <w:rPr>
          <w:rFonts w:hint="eastAsia" w:ascii="楷体_GB2312" w:hAnsi="楷体_GB2312" w:eastAsia="楷体_GB2312" w:cs="楷体_GB2312"/>
          <w:b/>
          <w:bCs/>
          <w:sz w:val="32"/>
          <w:szCs w:val="32"/>
          <w:highlight w:val="none"/>
          <w:lang w:val="en-US" w:eastAsia="zh-CN"/>
        </w:rPr>
        <w:t>1</w:t>
      </w:r>
      <w:r>
        <w:rPr>
          <w:rFonts w:hint="eastAsia" w:ascii="楷体_GB2312" w:hAnsi="楷体_GB2312" w:eastAsia="楷体_GB2312" w:cs="楷体_GB2312"/>
          <w:b/>
          <w:bCs/>
          <w:sz w:val="32"/>
          <w:szCs w:val="32"/>
          <w:highlight w:val="none"/>
        </w:rPr>
        <w:t>：哪些项目需要开展水土保持监测？不做监测有什么后果？</w:t>
      </w:r>
    </w:p>
    <w:p w14:paraId="5C59EE9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编制水土保持方案</w:t>
      </w:r>
      <w:r>
        <w:rPr>
          <w:rFonts w:hint="eastAsia" w:ascii="仿宋_GB2312" w:hAnsi="仿宋_GB2312" w:eastAsia="仿宋_GB2312" w:cs="仿宋_GB2312"/>
          <w:b w:val="0"/>
          <w:sz w:val="32"/>
          <w:szCs w:val="32"/>
          <w:highlight w:val="none"/>
        </w:rPr>
        <w:t>报告书</w:t>
      </w:r>
      <w:r>
        <w:rPr>
          <w:rFonts w:hint="eastAsia" w:ascii="仿宋_GB2312" w:hAnsi="仿宋_GB2312" w:eastAsia="仿宋_GB2312" w:cs="仿宋_GB2312"/>
          <w:sz w:val="32"/>
          <w:szCs w:val="32"/>
          <w:highlight w:val="none"/>
        </w:rPr>
        <w:t>的项目应当依法开展水土保持监测。未按规定开展监测的，水行政主管部门可采取通报、列入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重点关注名单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等方式进行责任追究，情节严重的将实施信用惩戒。</w:t>
      </w:r>
    </w:p>
    <w:p w14:paraId="0FBE1321">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Q1</w:t>
      </w:r>
      <w:r>
        <w:rPr>
          <w:rFonts w:hint="eastAsia" w:ascii="楷体_GB2312" w:hAnsi="楷体_GB2312" w:eastAsia="楷体_GB2312" w:cs="楷体_GB2312"/>
          <w:b/>
          <w:bCs/>
          <w:sz w:val="32"/>
          <w:szCs w:val="32"/>
          <w:highlight w:val="none"/>
          <w:lang w:val="en-US" w:eastAsia="zh-CN"/>
        </w:rPr>
        <w:t>2</w:t>
      </w:r>
      <w:r>
        <w:rPr>
          <w:rFonts w:hint="eastAsia" w:ascii="楷体_GB2312" w:hAnsi="楷体_GB2312" w:eastAsia="楷体_GB2312" w:cs="楷体_GB2312"/>
          <w:b/>
          <w:bCs/>
          <w:sz w:val="32"/>
          <w:szCs w:val="32"/>
          <w:highlight w:val="none"/>
        </w:rPr>
        <w:t>：未按时报送监测情况会怎样？</w:t>
      </w:r>
    </w:p>
    <w:p w14:paraId="00395F2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依据《北京市水土保持条例》第三十九条，未按时报送监测情况的，由水行政部门责令限期改正，处</w:t>
      </w:r>
      <w:r>
        <w:rPr>
          <w:rFonts w:hint="eastAsia" w:ascii="仿宋_GB2312" w:hAnsi="仿宋_GB2312" w:eastAsia="仿宋_GB2312" w:cs="仿宋_GB2312"/>
          <w:b w:val="0"/>
          <w:sz w:val="32"/>
          <w:szCs w:val="32"/>
          <w:highlight w:val="none"/>
        </w:rPr>
        <w:t>5000元以上2万元以下</w:t>
      </w:r>
      <w:r>
        <w:rPr>
          <w:rFonts w:hint="eastAsia" w:ascii="仿宋_GB2312" w:hAnsi="仿宋_GB2312" w:eastAsia="仿宋_GB2312" w:cs="仿宋_GB2312"/>
          <w:sz w:val="32"/>
          <w:szCs w:val="32"/>
          <w:highlight w:val="none"/>
        </w:rPr>
        <w:t>罚款。</w:t>
      </w:r>
    </w:p>
    <w:p w14:paraId="432CB8C5">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Q1</w:t>
      </w:r>
      <w:r>
        <w:rPr>
          <w:rFonts w:hint="eastAsia" w:ascii="楷体_GB2312" w:hAnsi="楷体_GB2312" w:eastAsia="楷体_GB2312" w:cs="楷体_GB2312"/>
          <w:b/>
          <w:bCs/>
          <w:sz w:val="32"/>
          <w:szCs w:val="32"/>
          <w:highlight w:val="none"/>
          <w:lang w:val="en-US" w:eastAsia="zh-CN"/>
        </w:rPr>
        <w:t>3</w:t>
      </w:r>
      <w:r>
        <w:rPr>
          <w:rFonts w:hint="eastAsia" w:ascii="楷体_GB2312" w:hAnsi="楷体_GB2312" w:eastAsia="楷体_GB2312" w:cs="楷体_GB2312"/>
          <w:b/>
          <w:bCs/>
          <w:sz w:val="32"/>
          <w:szCs w:val="32"/>
          <w:highlight w:val="none"/>
        </w:rPr>
        <w:t>：什么是</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rPr>
        <w:t>未验先投</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rPr>
        <w:t>？有什么后果？</w:t>
      </w:r>
    </w:p>
    <w:p w14:paraId="3E959CB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未验先投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是指水土保持设施未经验收或者验收不合格，就将生产建设项目投产使用的行为。依据《水土保持法》第五十四条，由县级以上人民政府水行政主管部门责令停止生产或者使用，直至验收合格，并处</w:t>
      </w:r>
      <w:r>
        <w:rPr>
          <w:rFonts w:hint="eastAsia" w:ascii="仿宋_GB2312" w:hAnsi="仿宋_GB2312" w:eastAsia="仿宋_GB2312" w:cs="仿宋_GB2312"/>
          <w:b/>
          <w:sz w:val="32"/>
          <w:szCs w:val="32"/>
          <w:highlight w:val="none"/>
        </w:rPr>
        <w:t>5万元以上50万元以下</w:t>
      </w:r>
      <w:r>
        <w:rPr>
          <w:rFonts w:hint="eastAsia" w:ascii="仿宋_GB2312" w:hAnsi="仿宋_GB2312" w:eastAsia="仿宋_GB2312" w:cs="仿宋_GB2312"/>
          <w:sz w:val="32"/>
          <w:szCs w:val="32"/>
          <w:highlight w:val="none"/>
        </w:rPr>
        <w:t>罚款。</w:t>
      </w:r>
    </w:p>
    <w:p w14:paraId="4D11CA3C">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Q1</w:t>
      </w:r>
      <w:r>
        <w:rPr>
          <w:rFonts w:hint="eastAsia" w:ascii="楷体_GB2312" w:hAnsi="楷体_GB2312" w:eastAsia="楷体_GB2312" w:cs="楷体_GB2312"/>
          <w:b/>
          <w:bCs/>
          <w:sz w:val="32"/>
          <w:szCs w:val="32"/>
          <w:highlight w:val="none"/>
          <w:lang w:val="en-US" w:eastAsia="zh-CN"/>
        </w:rPr>
        <w:t>4</w:t>
      </w:r>
      <w:r>
        <w:rPr>
          <w:rFonts w:hint="eastAsia" w:ascii="楷体_GB2312" w:hAnsi="楷体_GB2312" w:eastAsia="楷体_GB2312" w:cs="楷体_GB2312"/>
          <w:b/>
          <w:bCs/>
          <w:sz w:val="32"/>
          <w:szCs w:val="32"/>
          <w:highlight w:val="none"/>
        </w:rPr>
        <w:t>：水土保持设施自主验收怎么做？需要请第三方吗？</w:t>
      </w:r>
    </w:p>
    <w:p w14:paraId="31F02E1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编制报告书的项目，需组织第三方机构编制水土保持设施验收报告；编制报告表的项目，不需要验收报告，但验收组中应当有至少一名省级水行政主管部门水土保持专家库专家。验收合格后，在网站公示验收材料（不少于20个工作日），公示期满后3个月内向审批机关报备。</w:t>
      </w:r>
    </w:p>
    <w:p w14:paraId="69E2A48B">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Q1</w:t>
      </w:r>
      <w:r>
        <w:rPr>
          <w:rFonts w:hint="eastAsia" w:ascii="楷体_GB2312" w:hAnsi="楷体_GB2312" w:eastAsia="楷体_GB2312" w:cs="楷体_GB2312"/>
          <w:b/>
          <w:bCs/>
          <w:sz w:val="32"/>
          <w:szCs w:val="32"/>
          <w:highlight w:val="none"/>
          <w:lang w:val="en-US" w:eastAsia="zh-CN"/>
        </w:rPr>
        <w:t>5</w:t>
      </w:r>
      <w:r>
        <w:rPr>
          <w:rFonts w:hint="eastAsia" w:ascii="楷体_GB2312" w:hAnsi="楷体_GB2312" w:eastAsia="楷体_GB2312" w:cs="楷体_GB2312"/>
          <w:b/>
          <w:bCs/>
          <w:sz w:val="32"/>
          <w:szCs w:val="32"/>
          <w:highlight w:val="none"/>
        </w:rPr>
        <w:t>：自主验收后还需要接受监督检查吗？</w:t>
      </w:r>
    </w:p>
    <w:p w14:paraId="16AC245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需要。水行政主管部门将加强对生产建设单位水土保持设施自主验收的监督检查，对验收材料进行核查。如发现验收材料存在弄虚作假、不满足验收标准和条件等情形，将依法处理。</w:t>
      </w:r>
    </w:p>
    <w:p w14:paraId="215C8B67">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left"/>
        <w:textAlignment w:val="auto"/>
        <w:outlineLvl w:val="9"/>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四、补偿费与执法类</w:t>
      </w:r>
    </w:p>
    <w:p w14:paraId="7AEA80D2">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Q1</w:t>
      </w:r>
      <w:r>
        <w:rPr>
          <w:rFonts w:hint="eastAsia" w:ascii="楷体_GB2312" w:hAnsi="楷体_GB2312" w:eastAsia="楷体_GB2312" w:cs="楷体_GB2312"/>
          <w:b/>
          <w:bCs/>
          <w:sz w:val="32"/>
          <w:szCs w:val="32"/>
          <w:highlight w:val="none"/>
          <w:lang w:val="en-US" w:eastAsia="zh-CN"/>
        </w:rPr>
        <w:t>6</w:t>
      </w:r>
      <w:r>
        <w:rPr>
          <w:rFonts w:hint="eastAsia" w:ascii="楷体_GB2312" w:hAnsi="楷体_GB2312" w:eastAsia="楷体_GB2312" w:cs="楷体_GB2312"/>
          <w:b/>
          <w:bCs/>
          <w:sz w:val="32"/>
          <w:szCs w:val="32"/>
          <w:highlight w:val="none"/>
        </w:rPr>
        <w:t>：水土保持补偿费怎么交？不交会怎样？</w:t>
      </w:r>
    </w:p>
    <w:p w14:paraId="487AA87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一般性生产建设项目的缴纳义务人应当在项目开工前一次性缴纳水土保持补偿费。拒不缴纳的，依据《水土保持法》第五十七条，由水行政主管部门责令限期缴纳；逾期不缴纳的，自滞纳之日起</w:t>
      </w:r>
      <w:r>
        <w:rPr>
          <w:rFonts w:hint="eastAsia" w:ascii="仿宋_GB2312" w:hAnsi="仿宋_GB2312" w:eastAsia="仿宋_GB2312" w:cs="仿宋_GB2312"/>
          <w:b w:val="0"/>
          <w:sz w:val="32"/>
          <w:szCs w:val="32"/>
          <w:highlight w:val="none"/>
        </w:rPr>
        <w:t>按日加收滞纳部分万分之五的滞纳金</w:t>
      </w:r>
      <w:r>
        <w:rPr>
          <w:rFonts w:hint="eastAsia" w:ascii="仿宋_GB2312" w:hAnsi="仿宋_GB2312" w:eastAsia="仿宋_GB2312" w:cs="仿宋_GB2312"/>
          <w:sz w:val="32"/>
          <w:szCs w:val="32"/>
          <w:highlight w:val="none"/>
        </w:rPr>
        <w:t>，可以处</w:t>
      </w:r>
      <w:r>
        <w:rPr>
          <w:rFonts w:hint="eastAsia" w:ascii="仿宋_GB2312" w:hAnsi="仿宋_GB2312" w:eastAsia="仿宋_GB2312" w:cs="仿宋_GB2312"/>
          <w:b w:val="0"/>
          <w:sz w:val="32"/>
          <w:szCs w:val="32"/>
          <w:highlight w:val="none"/>
        </w:rPr>
        <w:t>应缴水土保持补偿费三倍以下</w:t>
      </w:r>
      <w:r>
        <w:rPr>
          <w:rFonts w:hint="eastAsia" w:ascii="仿宋_GB2312" w:hAnsi="仿宋_GB2312" w:eastAsia="仿宋_GB2312" w:cs="仿宋_GB2312"/>
          <w:sz w:val="32"/>
          <w:szCs w:val="32"/>
          <w:highlight w:val="none"/>
        </w:rPr>
        <w:t>的罚款。</w:t>
      </w:r>
    </w:p>
    <w:p w14:paraId="1FF7DDFB">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Q1</w:t>
      </w:r>
      <w:r>
        <w:rPr>
          <w:rFonts w:hint="eastAsia" w:ascii="楷体_GB2312" w:hAnsi="楷体_GB2312" w:eastAsia="楷体_GB2312" w:cs="楷体_GB2312"/>
          <w:b/>
          <w:bCs/>
          <w:sz w:val="32"/>
          <w:szCs w:val="32"/>
          <w:highlight w:val="none"/>
          <w:lang w:val="en-US" w:eastAsia="zh-CN"/>
        </w:rPr>
        <w:t>7</w:t>
      </w:r>
      <w:r>
        <w:rPr>
          <w:rFonts w:hint="eastAsia" w:ascii="楷体_GB2312" w:hAnsi="楷体_GB2312" w:eastAsia="楷体_GB2312" w:cs="楷体_GB2312"/>
          <w:b/>
          <w:bCs/>
          <w:sz w:val="32"/>
          <w:szCs w:val="32"/>
          <w:highlight w:val="none"/>
        </w:rPr>
        <w:t>：投产使用已超过2年的项目被发现</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rPr>
        <w:t>未批先建</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rPr>
        <w:t>，还会被处罚吗？</w:t>
      </w:r>
    </w:p>
    <w:p w14:paraId="5EA720F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行政处罚法》第三十六条规定，违法行为在二年内未被发现的，不再给予行政处罚。对投产使用（或竣工验收）2年以上的生产建设项目，且未依法编报水土保持方案的，水行政主管部门可不要求补办方案审批手续，不予行政处罚，但应纳入信用管理。如造成水土流失的，仍将责令限期治理。不过，未缴纳的水土保持补偿费仍应当补缴。</w:t>
      </w:r>
    </w:p>
    <w:p w14:paraId="4FAC678C">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w:t>
      </w:r>
      <w:r>
        <w:rPr>
          <w:rFonts w:hint="eastAsia" w:ascii="楷体_GB2312" w:hAnsi="楷体_GB2312" w:eastAsia="楷体_GB2312" w:cs="楷体_GB2312"/>
          <w:b/>
          <w:bCs/>
          <w:sz w:val="32"/>
          <w:szCs w:val="32"/>
          <w:highlight w:val="none"/>
          <w:lang w:val="en-US" w:eastAsia="zh-CN"/>
        </w:rPr>
        <w:t>18</w:t>
      </w:r>
      <w:r>
        <w:rPr>
          <w:rFonts w:hint="eastAsia" w:ascii="楷体_GB2312" w:hAnsi="楷体_GB2312" w:eastAsia="楷体_GB2312" w:cs="楷体_GB2312"/>
          <w:b/>
          <w:bCs/>
          <w:sz w:val="32"/>
          <w:szCs w:val="32"/>
          <w:highlight w:val="none"/>
        </w:rPr>
        <w:t>：被城管执法部门查处后，有什么信用影响？</w:t>
      </w:r>
    </w:p>
    <w:p w14:paraId="047B856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水行政部门将建立生产建设项目水土保持违法行为信息记录制度，将生产建设单位和水土保持设计单位、施工单位、监测单位、监理单位的违法行为信息纳入本市企业信用信息系统；对情节严重的，可以向社会公布。存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未批先建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未批先弃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未验先投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等行为的，还可能被列入水土保持信用监管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重点关注名单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甚至</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黑名单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，实施失信联合惩戒。</w:t>
      </w:r>
    </w:p>
    <w:p w14:paraId="7D28518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left"/>
        <w:textAlignment w:val="auto"/>
        <w:outlineLvl w:val="9"/>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五、其他常见问题</w:t>
      </w:r>
    </w:p>
    <w:p w14:paraId="64C1DF44">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w:t>
      </w:r>
      <w:r>
        <w:rPr>
          <w:rFonts w:hint="eastAsia" w:ascii="楷体_GB2312" w:hAnsi="楷体_GB2312" w:eastAsia="楷体_GB2312" w:cs="楷体_GB2312"/>
          <w:b/>
          <w:bCs/>
          <w:sz w:val="32"/>
          <w:szCs w:val="32"/>
          <w:highlight w:val="none"/>
          <w:lang w:val="en-US" w:eastAsia="zh-CN"/>
        </w:rPr>
        <w:t>19</w:t>
      </w:r>
      <w:r>
        <w:rPr>
          <w:rFonts w:hint="eastAsia" w:ascii="楷体_GB2312" w:hAnsi="楷体_GB2312" w:eastAsia="楷体_GB2312" w:cs="楷体_GB2312"/>
          <w:b/>
          <w:bCs/>
          <w:sz w:val="32"/>
          <w:szCs w:val="32"/>
          <w:highlight w:val="none"/>
        </w:rPr>
        <w:t>：项目建设过程中需要建设哪些雨水控制与利用设施？不建会怎样？</w:t>
      </w:r>
    </w:p>
    <w:p w14:paraId="14A4A3A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新建、改建和扩建生产建设项目，应建设集雨式绿地、透水铺装、雨水集蓄利用等设施，对公共停车场、人行道、步行街和休闲广场、室外庭院等场所进行透水铺装。未建设的，依据《北京市水土保持条例》第四十条，由水行政部门责令改正，处</w:t>
      </w:r>
      <w:r>
        <w:rPr>
          <w:rFonts w:hint="eastAsia" w:ascii="仿宋_GB2312" w:hAnsi="仿宋_GB2312" w:eastAsia="仿宋_GB2312" w:cs="仿宋_GB2312"/>
          <w:b w:val="0"/>
          <w:sz w:val="32"/>
          <w:szCs w:val="32"/>
          <w:highlight w:val="none"/>
        </w:rPr>
        <w:t>5万元以上50万元以下</w:t>
      </w:r>
      <w:r>
        <w:rPr>
          <w:rFonts w:hint="eastAsia" w:ascii="仿宋_GB2312" w:hAnsi="仿宋_GB2312" w:eastAsia="仿宋_GB2312" w:cs="仿宋_GB2312"/>
          <w:sz w:val="32"/>
          <w:szCs w:val="32"/>
          <w:highlight w:val="none"/>
        </w:rPr>
        <w:t>罚款。</w:t>
      </w:r>
    </w:p>
    <w:p w14:paraId="667ADA1F">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w:t>
      </w:r>
      <w:r>
        <w:rPr>
          <w:rFonts w:hint="eastAsia" w:ascii="楷体_GB2312" w:hAnsi="楷体_GB2312" w:eastAsia="楷体_GB2312" w:cs="楷体_GB2312"/>
          <w:b/>
          <w:bCs/>
          <w:sz w:val="32"/>
          <w:szCs w:val="32"/>
          <w:highlight w:val="none"/>
          <w:lang w:val="en-US" w:eastAsia="zh-CN"/>
        </w:rPr>
        <w:t>20</w:t>
      </w:r>
      <w:r>
        <w:rPr>
          <w:rFonts w:hint="eastAsia" w:ascii="楷体_GB2312" w:hAnsi="楷体_GB2312" w:eastAsia="楷体_GB2312" w:cs="楷体_GB2312"/>
          <w:b/>
          <w:bCs/>
          <w:sz w:val="32"/>
          <w:szCs w:val="32"/>
          <w:highlight w:val="none"/>
        </w:rPr>
        <w:t>：水土保持设施验收后还需要日常管护吗？</w:t>
      </w:r>
    </w:p>
    <w:p w14:paraId="11E0B6D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需要。水土保持设施的管护单位应当建立健全日常管护制度，保障设施正常运行，并保存水土保持设施清单和管护记录。未保存设施清单和管护记录的，依据《北京市水土保持条例》第三十七条，由水行政部门责令改正，可处</w:t>
      </w:r>
      <w:r>
        <w:rPr>
          <w:rFonts w:hint="eastAsia" w:ascii="仿宋_GB2312" w:hAnsi="仿宋_GB2312" w:eastAsia="仿宋_GB2312" w:cs="仿宋_GB2312"/>
          <w:b/>
          <w:sz w:val="32"/>
          <w:szCs w:val="32"/>
          <w:highlight w:val="none"/>
        </w:rPr>
        <w:t>5000元</w:t>
      </w:r>
      <w:r>
        <w:rPr>
          <w:rFonts w:hint="eastAsia" w:ascii="仿宋_GB2312" w:hAnsi="仿宋_GB2312" w:eastAsia="仿宋_GB2312" w:cs="仿宋_GB2312"/>
          <w:sz w:val="32"/>
          <w:szCs w:val="32"/>
          <w:highlight w:val="none"/>
        </w:rPr>
        <w:t>罚款。</w:t>
      </w:r>
    </w:p>
    <w:p w14:paraId="19235166">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Q2</w:t>
      </w:r>
      <w:r>
        <w:rPr>
          <w:rFonts w:hint="eastAsia" w:ascii="楷体_GB2312" w:hAnsi="楷体_GB2312" w:eastAsia="楷体_GB2312" w:cs="楷体_GB2312"/>
          <w:b/>
          <w:bCs/>
          <w:sz w:val="32"/>
          <w:szCs w:val="32"/>
          <w:highlight w:val="none"/>
          <w:lang w:val="en-US" w:eastAsia="zh-CN"/>
        </w:rPr>
        <w:t>1</w:t>
      </w:r>
      <w:r>
        <w:rPr>
          <w:rFonts w:hint="eastAsia" w:ascii="楷体_GB2312" w:hAnsi="楷体_GB2312" w:eastAsia="楷体_GB2312" w:cs="楷体_GB2312"/>
          <w:b/>
          <w:bCs/>
          <w:sz w:val="32"/>
          <w:szCs w:val="32"/>
          <w:highlight w:val="none"/>
        </w:rPr>
        <w:t>：项目分期建设、分期投产，水土保持设施怎么验收？</w:t>
      </w:r>
    </w:p>
    <w:p w14:paraId="310C5AC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分期建设、分期投产使用的生产建设项目，其水土保持设施可以分期开展验收。每期投产使用前，应当完成该期水土保持设施的自主验收并报备。</w:t>
      </w:r>
    </w:p>
    <w:p w14:paraId="44BE44A3">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Q</w:t>
      </w:r>
      <w:r>
        <w:rPr>
          <w:rFonts w:hint="eastAsia" w:ascii="楷体_GB2312" w:hAnsi="楷体_GB2312" w:eastAsia="楷体_GB2312" w:cs="楷体_GB2312"/>
          <w:b/>
          <w:bCs/>
          <w:sz w:val="32"/>
          <w:szCs w:val="32"/>
          <w:highlight w:val="none"/>
          <w:lang w:val="en-US" w:eastAsia="zh-CN"/>
        </w:rPr>
        <w:t>22</w:t>
      </w:r>
      <w:r>
        <w:rPr>
          <w:rFonts w:hint="eastAsia" w:ascii="楷体_GB2312" w:hAnsi="楷体_GB2312" w:eastAsia="楷体_GB2312" w:cs="楷体_GB2312"/>
          <w:b/>
          <w:bCs/>
          <w:sz w:val="32"/>
          <w:szCs w:val="32"/>
          <w:highlight w:val="none"/>
        </w:rPr>
        <w:t>：如何查询和咨询水土保持相关政策？</w:t>
      </w:r>
    </w:p>
    <w:p w14:paraId="2C49E70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北京市水务局官网：http://swj.beijing.gov.cn</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北京市政务服务网：https://banshi.beijing.gov.cn</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市民服务热线：12345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水土保持方案审批咨询电话：（010）89150001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水务执法监督举报：12345</w:t>
      </w:r>
      <w:r>
        <w:rPr>
          <w:rFonts w:hint="eastAsia" w:ascii="仿宋_GB2312" w:hAnsi="仿宋_GB2312" w:eastAsia="仿宋_GB2312" w:cs="仿宋_GB2312"/>
          <w:sz w:val="32"/>
          <w:szCs w:val="32"/>
          <w:highlight w:val="none"/>
          <w:lang w:eastAsia="zh-CN"/>
        </w:rPr>
        <w:t>。</w:t>
      </w:r>
    </w:p>
    <w:p w14:paraId="51156279">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六、</w:t>
      </w:r>
      <w:r>
        <w:rPr>
          <w:rFonts w:hint="eastAsia" w:ascii="黑体" w:hAnsi="黑体" w:eastAsia="黑体" w:cs="黑体"/>
          <w:b w:val="0"/>
          <w:bCs/>
          <w:sz w:val="32"/>
          <w:szCs w:val="32"/>
          <w:highlight w:val="none"/>
        </w:rPr>
        <w:t>援引文件目录</w:t>
      </w:r>
    </w:p>
    <w:p w14:paraId="6C1A2636">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sz w:val="32"/>
          <w:szCs w:val="32"/>
          <w:highlight w:val="none"/>
        </w:rPr>
        <w:t>1.《中华人民共和国水土保持法》</w:t>
      </w:r>
      <w:r>
        <w:rPr>
          <w:rFonts w:hint="eastAsia" w:ascii="仿宋_GB2312" w:hAnsi="仿宋_GB2312" w:eastAsia="仿宋_GB2312" w:cs="仿宋_GB2312"/>
          <w:sz w:val="32"/>
          <w:szCs w:val="32"/>
          <w:highlight w:val="none"/>
        </w:rPr>
        <w:t>本指导援引条款：第二十七条、第五十三条、第五十四条、第五十五条、第五十六条、第五十七条</w:t>
      </w:r>
      <w:r>
        <w:rPr>
          <w:rFonts w:hint="eastAsia" w:ascii="仿宋_GB2312" w:hAnsi="仿宋_GB2312" w:eastAsia="仿宋_GB2312" w:cs="仿宋_GB2312"/>
          <w:sz w:val="32"/>
          <w:szCs w:val="32"/>
          <w:highlight w:val="none"/>
          <w:lang w:eastAsia="zh-CN"/>
        </w:rPr>
        <w:t>；</w:t>
      </w:r>
    </w:p>
    <w:p w14:paraId="41FE53C2">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sz w:val="32"/>
          <w:szCs w:val="32"/>
          <w:highlight w:val="none"/>
        </w:rPr>
        <w:t>2.《中华人民共和国行政处罚法》</w:t>
      </w:r>
      <w:r>
        <w:rPr>
          <w:rFonts w:hint="eastAsia" w:ascii="仿宋_GB2312" w:hAnsi="仿宋_GB2312" w:eastAsia="仿宋_GB2312" w:cs="仿宋_GB2312"/>
          <w:sz w:val="32"/>
          <w:szCs w:val="32"/>
          <w:highlight w:val="none"/>
        </w:rPr>
        <w:t>本指导援引条款：第三十六条</w:t>
      </w:r>
      <w:r>
        <w:rPr>
          <w:rFonts w:hint="eastAsia" w:ascii="仿宋_GB2312" w:hAnsi="仿宋_GB2312" w:eastAsia="仿宋_GB2312" w:cs="仿宋_GB2312"/>
          <w:sz w:val="32"/>
          <w:szCs w:val="32"/>
          <w:highlight w:val="none"/>
          <w:lang w:eastAsia="zh-CN"/>
        </w:rPr>
        <w:t>；</w:t>
      </w:r>
    </w:p>
    <w:p w14:paraId="48C673EB">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sz w:val="32"/>
          <w:szCs w:val="32"/>
          <w:highlight w:val="none"/>
        </w:rPr>
        <w:t>3.《北京市水土保持条例》</w:t>
      </w:r>
      <w:r>
        <w:rPr>
          <w:rFonts w:hint="eastAsia" w:ascii="仿宋_GB2312" w:hAnsi="仿宋_GB2312" w:eastAsia="仿宋_GB2312" w:cs="仿宋_GB2312"/>
          <w:color w:val="auto"/>
          <w:sz w:val="32"/>
          <w:szCs w:val="32"/>
          <w:highlight w:val="none"/>
        </w:rPr>
        <w:t>本指导援引条款：第二十四条、第二十五条、第二十六条、第二十八条、第二十九条、第三十条、第三十一条、第三十七条、第三十八条、第三十九条、</w:t>
      </w:r>
      <w:r>
        <w:rPr>
          <w:rFonts w:hint="eastAsia" w:ascii="仿宋_GB2312" w:hAnsi="仿宋_GB2312" w:eastAsia="仿宋_GB2312" w:cs="仿宋_GB2312"/>
          <w:sz w:val="32"/>
          <w:szCs w:val="32"/>
          <w:highlight w:val="none"/>
        </w:rPr>
        <w:t>第四十条</w:t>
      </w:r>
      <w:r>
        <w:rPr>
          <w:rFonts w:hint="eastAsia" w:ascii="仿宋_GB2312" w:hAnsi="仿宋_GB2312" w:eastAsia="仿宋_GB2312" w:cs="仿宋_GB2312"/>
          <w:sz w:val="32"/>
          <w:szCs w:val="32"/>
          <w:highlight w:val="none"/>
          <w:lang w:eastAsia="zh-CN"/>
        </w:rPr>
        <w:t>；</w:t>
      </w:r>
    </w:p>
    <w:p w14:paraId="4C8105C0">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b w:val="0"/>
          <w:sz w:val="32"/>
          <w:szCs w:val="32"/>
          <w:highlight w:val="none"/>
          <w:lang w:eastAsia="zh-CN"/>
        </w:rPr>
      </w:pPr>
      <w:r>
        <w:rPr>
          <w:rFonts w:hint="eastAsia" w:ascii="仿宋_GB2312" w:hAnsi="仿宋_GB2312" w:eastAsia="仿宋_GB2312" w:cs="仿宋_GB2312"/>
          <w:b w:val="0"/>
          <w:sz w:val="32"/>
          <w:szCs w:val="32"/>
          <w:highlight w:val="none"/>
        </w:rPr>
        <w:t>4.《生产建设项目水土保持方案管理办法》（水利部令第53号）</w:t>
      </w:r>
      <w:r>
        <w:rPr>
          <w:rFonts w:hint="eastAsia" w:ascii="仿宋_GB2312" w:hAnsi="仿宋_GB2312" w:eastAsia="仿宋_GB2312" w:cs="仿宋_GB2312"/>
          <w:b w:val="0"/>
          <w:sz w:val="32"/>
          <w:szCs w:val="32"/>
          <w:highlight w:val="none"/>
          <w:lang w:eastAsia="zh-CN"/>
        </w:rPr>
        <w:t>；</w:t>
      </w:r>
    </w:p>
    <w:p w14:paraId="16720093">
      <w:pPr>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sz w:val="32"/>
          <w:szCs w:val="32"/>
          <w:highlight w:val="none"/>
        </w:rPr>
        <w:t>5.《北京市生产建设项目水土保持方案管理规定（试行）》（京水务保〔2023〕17号）</w:t>
      </w:r>
      <w:r>
        <w:rPr>
          <w:rFonts w:hint="eastAsia" w:ascii="仿宋_GB2312" w:hAnsi="仿宋_GB2312" w:eastAsia="仿宋_GB2312" w:cs="仿宋_GB2312"/>
          <w:sz w:val="32"/>
          <w:szCs w:val="32"/>
          <w:highlight w:val="none"/>
        </w:rPr>
        <w:t>本指导援引条款：第七条、第九条、第十条、第十二条、第十三条、第十六条、第十七条、第十八条、第二十条、第二十二条、第二十三条、第三十一条</w:t>
      </w:r>
      <w:r>
        <w:rPr>
          <w:rFonts w:hint="eastAsia" w:ascii="仿宋_GB2312" w:hAnsi="仿宋_GB2312" w:eastAsia="仿宋_GB2312" w:cs="仿宋_GB2312"/>
          <w:sz w:val="32"/>
          <w:szCs w:val="32"/>
          <w:highlight w:val="none"/>
          <w:lang w:eastAsia="zh-CN"/>
        </w:rPr>
        <w:t>。</w:t>
      </w:r>
    </w:p>
    <w:p w14:paraId="038B926A">
      <w:pPr>
        <w:numPr>
          <w:ilvl w:val="0"/>
          <w:numId w:val="0"/>
        </w:numPr>
        <w:spacing w:line="560" w:lineRule="exact"/>
        <w:ind w:firstLine="640" w:firstLineChars="200"/>
        <w:rPr>
          <w:rFonts w:hint="eastAsia"/>
          <w:highlight w:val="none"/>
          <w:lang w:val="en-US" w:eastAsia="zh-CN"/>
        </w:rPr>
      </w:pPr>
      <w:r>
        <w:rPr>
          <w:rFonts w:hint="eastAsia" w:ascii="仿宋_GB2312" w:hAnsi="仿宋_GB2312" w:eastAsia="仿宋_GB2312" w:cs="仿宋_GB2312"/>
          <w:sz w:val="32"/>
          <w:szCs w:val="32"/>
          <w:highlight w:val="none"/>
        </w:rPr>
        <w:t>说明：该文件确立了北京市ABCD四级水土流失风险区域制度，规定了方案编报范围、分类标准、分级审批、技术评审、自主验收等全流程管理要求，是北京市水土保持方案管理的核心依据。</w:t>
      </w:r>
    </w:p>
    <w:sectPr>
      <w:footerReference r:id="rId3" w:type="default"/>
      <w:pgSz w:w="11906" w:h="16838"/>
      <w:pgMar w:top="2098" w:right="1474" w:bottom="1984" w:left="1587"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6020202030204"/>
    <w:charset w:val="01"/>
    <w:family w:val="swiss"/>
    <w:pitch w:val="default"/>
    <w:sig w:usb0="00000287" w:usb1="00000800" w:usb2="00000000" w:usb3="00000000" w:csb0="2000009F" w:csb1="DFD7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6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D803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762FD"/>
    <w:multiLevelType w:val="singleLevel"/>
    <w:tmpl w:val="F7F762F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7F2F1"/>
    <w:rsid w:val="0CC755E2"/>
    <w:rsid w:val="0F9F2A4C"/>
    <w:rsid w:val="1BBEC7A4"/>
    <w:rsid w:val="1D6FF70B"/>
    <w:rsid w:val="1F2B629A"/>
    <w:rsid w:val="24FF2120"/>
    <w:rsid w:val="25BE643B"/>
    <w:rsid w:val="27DFC041"/>
    <w:rsid w:val="2A9D0A01"/>
    <w:rsid w:val="2AEBADB3"/>
    <w:rsid w:val="2BFF4946"/>
    <w:rsid w:val="2DFE0F8C"/>
    <w:rsid w:val="3565CD79"/>
    <w:rsid w:val="35FCFF10"/>
    <w:rsid w:val="36A6D55E"/>
    <w:rsid w:val="3BAC7C5C"/>
    <w:rsid w:val="3BBC674A"/>
    <w:rsid w:val="3BF416AB"/>
    <w:rsid w:val="3BFDEA43"/>
    <w:rsid w:val="3C7F98E1"/>
    <w:rsid w:val="3E1FA54A"/>
    <w:rsid w:val="3EFD4430"/>
    <w:rsid w:val="3F8B4FC5"/>
    <w:rsid w:val="3FA7ABD0"/>
    <w:rsid w:val="3FBF4CDF"/>
    <w:rsid w:val="3FDD8AA3"/>
    <w:rsid w:val="3FFEDBA0"/>
    <w:rsid w:val="439FD04C"/>
    <w:rsid w:val="47FF0D86"/>
    <w:rsid w:val="4DE3B6C9"/>
    <w:rsid w:val="4DF817C7"/>
    <w:rsid w:val="4FBF11CA"/>
    <w:rsid w:val="525E6FC2"/>
    <w:rsid w:val="5B73A2F8"/>
    <w:rsid w:val="5B7D1848"/>
    <w:rsid w:val="5BD794A9"/>
    <w:rsid w:val="5BED431F"/>
    <w:rsid w:val="5D33AC8E"/>
    <w:rsid w:val="5DFF29D8"/>
    <w:rsid w:val="5E53335D"/>
    <w:rsid w:val="5EDF6A05"/>
    <w:rsid w:val="5EEF3D09"/>
    <w:rsid w:val="5F57FD2E"/>
    <w:rsid w:val="5F7E87D2"/>
    <w:rsid w:val="5F9B0A6B"/>
    <w:rsid w:val="5FB3D3BA"/>
    <w:rsid w:val="63DA81F2"/>
    <w:rsid w:val="65A6BF47"/>
    <w:rsid w:val="65FF6660"/>
    <w:rsid w:val="67776069"/>
    <w:rsid w:val="67DF7863"/>
    <w:rsid w:val="67F276AE"/>
    <w:rsid w:val="67F73532"/>
    <w:rsid w:val="6AFDF892"/>
    <w:rsid w:val="6AFFE06F"/>
    <w:rsid w:val="6B3FA887"/>
    <w:rsid w:val="6DBD3066"/>
    <w:rsid w:val="6E1F60BE"/>
    <w:rsid w:val="6E6F1C9E"/>
    <w:rsid w:val="6E8D70F5"/>
    <w:rsid w:val="6ECDF070"/>
    <w:rsid w:val="6EF7C601"/>
    <w:rsid w:val="6EFF564E"/>
    <w:rsid w:val="6F5F9D80"/>
    <w:rsid w:val="6F971FDA"/>
    <w:rsid w:val="6FD563D1"/>
    <w:rsid w:val="6FEC7C70"/>
    <w:rsid w:val="6FF75988"/>
    <w:rsid w:val="6FFE6CF8"/>
    <w:rsid w:val="6FFF2C16"/>
    <w:rsid w:val="715F9859"/>
    <w:rsid w:val="71E636DE"/>
    <w:rsid w:val="72E352AD"/>
    <w:rsid w:val="72FD6BF7"/>
    <w:rsid w:val="74EF374B"/>
    <w:rsid w:val="75AFBAB5"/>
    <w:rsid w:val="76C8CABC"/>
    <w:rsid w:val="77172EB1"/>
    <w:rsid w:val="773AFD39"/>
    <w:rsid w:val="773DCA3F"/>
    <w:rsid w:val="77DA4C2E"/>
    <w:rsid w:val="77E71530"/>
    <w:rsid w:val="77FBE701"/>
    <w:rsid w:val="77FCE4DF"/>
    <w:rsid w:val="77FE3D34"/>
    <w:rsid w:val="79BB4FF3"/>
    <w:rsid w:val="7ABF1129"/>
    <w:rsid w:val="7ADBD0F8"/>
    <w:rsid w:val="7AF3D953"/>
    <w:rsid w:val="7B123F78"/>
    <w:rsid w:val="7BA7A394"/>
    <w:rsid w:val="7BDCA244"/>
    <w:rsid w:val="7BE994EF"/>
    <w:rsid w:val="7BEF10BB"/>
    <w:rsid w:val="7BFFA057"/>
    <w:rsid w:val="7CFCEFA7"/>
    <w:rsid w:val="7CFFD2E3"/>
    <w:rsid w:val="7D7973BC"/>
    <w:rsid w:val="7D7E70E8"/>
    <w:rsid w:val="7D9BD5CD"/>
    <w:rsid w:val="7D9F54B1"/>
    <w:rsid w:val="7DA74EB1"/>
    <w:rsid w:val="7DAF456A"/>
    <w:rsid w:val="7DCE06C5"/>
    <w:rsid w:val="7DEDB3BA"/>
    <w:rsid w:val="7DEEE6DB"/>
    <w:rsid w:val="7DFE61ED"/>
    <w:rsid w:val="7DFF48CB"/>
    <w:rsid w:val="7E6F3A42"/>
    <w:rsid w:val="7EAF78F8"/>
    <w:rsid w:val="7EFDB592"/>
    <w:rsid w:val="7EFDCB16"/>
    <w:rsid w:val="7F35659A"/>
    <w:rsid w:val="7F6773BB"/>
    <w:rsid w:val="7F7F70A1"/>
    <w:rsid w:val="7F9E0DF2"/>
    <w:rsid w:val="7F9F3AB7"/>
    <w:rsid w:val="7FAEE117"/>
    <w:rsid w:val="7FD72967"/>
    <w:rsid w:val="7FEA14D0"/>
    <w:rsid w:val="7FEBDD2D"/>
    <w:rsid w:val="7FEFFCE1"/>
    <w:rsid w:val="7FF74BBA"/>
    <w:rsid w:val="7FFE8868"/>
    <w:rsid w:val="7FFF057E"/>
    <w:rsid w:val="7FFF5CB2"/>
    <w:rsid w:val="7FFFBBF1"/>
    <w:rsid w:val="8F7DB08A"/>
    <w:rsid w:val="957BAF08"/>
    <w:rsid w:val="9ADFCDFB"/>
    <w:rsid w:val="9ECE4426"/>
    <w:rsid w:val="9FFD6B6A"/>
    <w:rsid w:val="A3FDD8FE"/>
    <w:rsid w:val="ABFFEFDF"/>
    <w:rsid w:val="AD38ADD9"/>
    <w:rsid w:val="ADBBBCAF"/>
    <w:rsid w:val="ADF7BC4D"/>
    <w:rsid w:val="AF543D7F"/>
    <w:rsid w:val="B2FEF3B6"/>
    <w:rsid w:val="B6F9E6EE"/>
    <w:rsid w:val="B77F4F2A"/>
    <w:rsid w:val="BB8FF927"/>
    <w:rsid w:val="BBBCD00C"/>
    <w:rsid w:val="BBFD50AC"/>
    <w:rsid w:val="BC87933E"/>
    <w:rsid w:val="BC8F1E0C"/>
    <w:rsid w:val="BDA563BF"/>
    <w:rsid w:val="BDECBAD7"/>
    <w:rsid w:val="BDF711B3"/>
    <w:rsid w:val="BDFF179E"/>
    <w:rsid w:val="BEB703CE"/>
    <w:rsid w:val="BEDF3A59"/>
    <w:rsid w:val="BEF726E4"/>
    <w:rsid w:val="BEFBD889"/>
    <w:rsid w:val="BF2B9E72"/>
    <w:rsid w:val="BFFD9DB5"/>
    <w:rsid w:val="BFFFCBD9"/>
    <w:rsid w:val="C3E38598"/>
    <w:rsid w:val="C7FF5AC1"/>
    <w:rsid w:val="C99B2FA8"/>
    <w:rsid w:val="CEA72F34"/>
    <w:rsid w:val="CF7E21AD"/>
    <w:rsid w:val="CFFBF263"/>
    <w:rsid w:val="D575DF9A"/>
    <w:rsid w:val="D63E43A7"/>
    <w:rsid w:val="D6F8B797"/>
    <w:rsid w:val="DADE5F3C"/>
    <w:rsid w:val="DBDE1C6E"/>
    <w:rsid w:val="DBFFA23A"/>
    <w:rsid w:val="DC3E88EC"/>
    <w:rsid w:val="DCF6A853"/>
    <w:rsid w:val="DD719765"/>
    <w:rsid w:val="DD9B66C1"/>
    <w:rsid w:val="DEDFE969"/>
    <w:rsid w:val="DF0B2EED"/>
    <w:rsid w:val="DF3733DD"/>
    <w:rsid w:val="DFBF40EE"/>
    <w:rsid w:val="DFFB5D4C"/>
    <w:rsid w:val="DFFBFB3B"/>
    <w:rsid w:val="DFFD3F8C"/>
    <w:rsid w:val="E4FF195C"/>
    <w:rsid w:val="E576E035"/>
    <w:rsid w:val="E5FF3F8B"/>
    <w:rsid w:val="E6CFB2CB"/>
    <w:rsid w:val="E6FFA8BB"/>
    <w:rsid w:val="E777B75B"/>
    <w:rsid w:val="E7FFE54E"/>
    <w:rsid w:val="EBFD3C99"/>
    <w:rsid w:val="EC7961C8"/>
    <w:rsid w:val="ECFE6206"/>
    <w:rsid w:val="ED3F30DC"/>
    <w:rsid w:val="ED7F7BDD"/>
    <w:rsid w:val="EE577713"/>
    <w:rsid w:val="EF2F7B84"/>
    <w:rsid w:val="EF9E7BD0"/>
    <w:rsid w:val="EFB3272C"/>
    <w:rsid w:val="EFB736AB"/>
    <w:rsid w:val="EFDB6171"/>
    <w:rsid w:val="EFDD32DA"/>
    <w:rsid w:val="EFFDCB13"/>
    <w:rsid w:val="F26D4053"/>
    <w:rsid w:val="F3BF2C41"/>
    <w:rsid w:val="F3F3D6EC"/>
    <w:rsid w:val="F3FD5CD2"/>
    <w:rsid w:val="F53D8A26"/>
    <w:rsid w:val="F67F317A"/>
    <w:rsid w:val="F6DBA4D0"/>
    <w:rsid w:val="F77E0F1C"/>
    <w:rsid w:val="F7AF03B6"/>
    <w:rsid w:val="F7BF98EC"/>
    <w:rsid w:val="F7BFDBB2"/>
    <w:rsid w:val="F7C7C05C"/>
    <w:rsid w:val="F7D4478C"/>
    <w:rsid w:val="F7FC82E6"/>
    <w:rsid w:val="F7FE977D"/>
    <w:rsid w:val="FAAEA9CB"/>
    <w:rsid w:val="FBA7A7CF"/>
    <w:rsid w:val="FBBB4648"/>
    <w:rsid w:val="FBE66A3F"/>
    <w:rsid w:val="FBEBB346"/>
    <w:rsid w:val="FBEEBDDC"/>
    <w:rsid w:val="FBF9FB4D"/>
    <w:rsid w:val="FBFF221E"/>
    <w:rsid w:val="FD377C6D"/>
    <w:rsid w:val="FD7DD5D7"/>
    <w:rsid w:val="FD7EB0D4"/>
    <w:rsid w:val="FD7F483B"/>
    <w:rsid w:val="FDBFC73D"/>
    <w:rsid w:val="FDD372F3"/>
    <w:rsid w:val="FDDB8F15"/>
    <w:rsid w:val="FDEBDDC0"/>
    <w:rsid w:val="FDED8CCB"/>
    <w:rsid w:val="FE7740BF"/>
    <w:rsid w:val="FEB9A232"/>
    <w:rsid w:val="FF3332C8"/>
    <w:rsid w:val="FF3BB781"/>
    <w:rsid w:val="FF4D1253"/>
    <w:rsid w:val="FF639566"/>
    <w:rsid w:val="FF7A9F1A"/>
    <w:rsid w:val="FFB7F2F1"/>
    <w:rsid w:val="FFCF6B16"/>
    <w:rsid w:val="FFDBC810"/>
    <w:rsid w:val="FFDF640A"/>
    <w:rsid w:val="FFEABFB5"/>
    <w:rsid w:val="FFEDB46B"/>
    <w:rsid w:val="FFEEF74A"/>
    <w:rsid w:val="FFF731C7"/>
    <w:rsid w:val="FFF8A999"/>
    <w:rsid w:val="FFF9CDD7"/>
    <w:rsid w:val="FFFBEFF5"/>
    <w:rsid w:val="FFFEF467"/>
    <w:rsid w:val="FFFFAD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3"/>
    <w:next w:val="1"/>
    <w:link w:val="15"/>
    <w:qFormat/>
    <w:uiPriority w:val="0"/>
    <w:pPr>
      <w:keepNext/>
      <w:keepLines/>
      <w:spacing w:before="100" w:beforeLines="0" w:beforeAutospacing="0" w:after="90" w:afterLines="0" w:afterAutospacing="0" w:line="576" w:lineRule="auto"/>
      <w:jc w:val="center"/>
      <w:outlineLvl w:val="0"/>
    </w:pPr>
    <w:rPr>
      <w:rFonts w:ascii="Arial" w:hAnsi="Arial" w:eastAsia="方正小标宋简体"/>
      <w:b w:val="0"/>
      <w:kern w:val="44"/>
      <w:sz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4">
    <w:name w:val="Body Text"/>
    <w:basedOn w:val="1"/>
    <w:next w:val="1"/>
    <w:qFormat/>
    <w:uiPriority w:val="0"/>
    <w:pPr>
      <w:ind w:left="114"/>
    </w:pPr>
    <w:rPr>
      <w:rFonts w:hint="eastAsia" w:eastAsia="宋体"/>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
    <w:name w:val="大标题"/>
    <w:next w:val="1"/>
    <w:qFormat/>
    <w:uiPriority w:val="0"/>
    <w:pPr>
      <w:widowControl w:val="0"/>
      <w:spacing w:line="560" w:lineRule="exact"/>
      <w:jc w:val="center"/>
      <w:outlineLvl w:val="0"/>
    </w:pPr>
    <w:rPr>
      <w:rFonts w:ascii="方正小标宋简体" w:hAnsi="宋体" w:eastAsia="方正小标宋简体" w:cs="宋体"/>
      <w:snapToGrid w:val="0"/>
      <w:kern w:val="0"/>
      <w:sz w:val="44"/>
      <w:szCs w:val="20"/>
      <w:lang w:val="en-US" w:eastAsia="zh-CN" w:bidi="ar-SA"/>
    </w:rPr>
  </w:style>
  <w:style w:type="paragraph" w:customStyle="1" w:styleId="12">
    <w:name w:val="无间隔1"/>
    <w:next w:val="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14">
    <w:name w:val="正文首行缩进2"/>
    <w:basedOn w:val="1"/>
    <w:qFormat/>
    <w:uiPriority w:val="0"/>
    <w:pPr>
      <w:ind w:firstLine="200" w:firstLineChars="200"/>
    </w:pPr>
    <w:rPr>
      <w:rFonts w:ascii="黑体" w:eastAsia="仿宋_GB2312" w:cs="宋体"/>
      <w:sz w:val="32"/>
      <w:szCs w:val="32"/>
    </w:rPr>
  </w:style>
  <w:style w:type="character" w:customStyle="1" w:styleId="15">
    <w:name w:val="标题 1 Char"/>
    <w:link w:val="2"/>
    <w:qFormat/>
    <w:uiPriority w:val="0"/>
    <w:rPr>
      <w:rFonts w:ascii="Arial" w:hAnsi="Arial" w:eastAsia="方正小标宋简体"/>
      <w:b/>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0</Words>
  <Characters>0</Characters>
  <Lines>0</Lines>
  <Paragraphs>0</Paragraphs>
  <TotalTime>0</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2026-06-29T14:50:00Z</dcterms:created>
  <dc:creator>uos</dc:creator>
  <cp:lastModifiedBy>UOS-PC</cp:lastModifiedBy>
  <cp:lastPrinted>2026-08-02T02:26:00Z</cp:lastPrinted>
  <dcterms:modified xsi:type="dcterms:W3CDTF">2026-10-21T08:52:20Z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70E45162A56213A915869A6A57488760_43</vt:lpwstr>
  </property>
</Properties>
</file>