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520F4B">
      <w:pPr>
        <w:jc w:val="center"/>
        <w:rPr>
          <w:rFonts w:ascii="华文中宋" w:hAnsi="华文中宋" w:eastAsia="华文中宋"/>
          <w:sz w:val="36"/>
          <w:szCs w:val="36"/>
        </w:rPr>
      </w:pPr>
      <w:r>
        <w:rPr>
          <w:rFonts w:hint="eastAsia" w:ascii="华文中宋" w:hAnsi="华文中宋" w:eastAsia="华文中宋"/>
          <w:sz w:val="36"/>
          <w:szCs w:val="36"/>
        </w:rPr>
        <w:t>北京市政府部门行政职权运行通用责任清单</w:t>
      </w:r>
    </w:p>
    <w:p w14:paraId="3CD17482">
      <w:pPr>
        <w:rPr>
          <w:rFonts w:hint="eastAsia"/>
        </w:rPr>
      </w:pPr>
    </w:p>
    <w:tbl>
      <w:tblPr>
        <w:tblStyle w:val="2"/>
        <w:tblW w:w="8606" w:type="dxa"/>
        <w:tblCellSpacing w:w="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18"/>
        <w:gridCol w:w="1794"/>
        <w:gridCol w:w="5994"/>
      </w:tblGrid>
      <w:tr w14:paraId="57830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5" w:hRule="atLeast"/>
          <w:tblCellSpacing w:w="0" w:type="dxa"/>
        </w:trPr>
        <w:tc>
          <w:tcPr>
            <w:tcW w:w="8606" w:type="dxa"/>
            <w:gridSpan w:val="3"/>
            <w:shd w:val="clear" w:color="auto" w:fill="auto"/>
            <w:tcMar>
              <w:top w:w="0" w:type="dxa"/>
              <w:left w:w="105" w:type="dxa"/>
              <w:bottom w:w="0" w:type="dxa"/>
              <w:right w:w="105" w:type="dxa"/>
            </w:tcMar>
            <w:vAlign w:val="center"/>
          </w:tcPr>
          <w:p w14:paraId="3B0CD394">
            <w:pPr>
              <w:widowControl/>
              <w:spacing w:before="100" w:beforeAutospacing="1" w:after="100" w:afterAutospacing="1"/>
              <w:jc w:val="center"/>
              <w:rPr>
                <w:rFonts w:hint="eastAsia" w:ascii="宋体" w:hAnsi="宋体" w:eastAsia="宋体" w:cs="宋体"/>
                <w:kern w:val="0"/>
                <w:sz w:val="24"/>
                <w:szCs w:val="24"/>
              </w:rPr>
            </w:pPr>
            <w:r>
              <w:rPr>
                <w:rFonts w:hint="eastAsia" w:ascii="宋体" w:hAnsi="宋体" w:eastAsia="宋体" w:cs="宋体"/>
                <w:b/>
                <w:bCs/>
                <w:kern w:val="0"/>
                <w:sz w:val="24"/>
                <w:szCs w:val="24"/>
                <w:lang w:eastAsia="zh-CN"/>
              </w:rPr>
              <w:t>一</w:t>
            </w:r>
            <w:r>
              <w:rPr>
                <w:rFonts w:hint="eastAsia" w:ascii="宋体" w:hAnsi="宋体" w:eastAsia="宋体" w:cs="宋体"/>
                <w:b/>
                <w:bCs/>
                <w:kern w:val="0"/>
                <w:sz w:val="24"/>
                <w:szCs w:val="24"/>
              </w:rPr>
              <w:t>、行政处罚类行政职权运行通用责任清单</w:t>
            </w:r>
            <w:r>
              <w:rPr>
                <w:rFonts w:hint="eastAsia" w:ascii="宋体" w:hAnsi="宋体" w:eastAsia="宋体" w:cs="宋体"/>
                <w:kern w:val="0"/>
                <w:sz w:val="24"/>
                <w:szCs w:val="24"/>
              </w:rPr>
              <w:t xml:space="preserve"> </w:t>
            </w:r>
          </w:p>
        </w:tc>
      </w:tr>
      <w:tr w14:paraId="5DB3B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5" w:hRule="atLeast"/>
          <w:tblCellSpacing w:w="0" w:type="dxa"/>
        </w:trPr>
        <w:tc>
          <w:tcPr>
            <w:tcW w:w="798" w:type="dxa"/>
            <w:shd w:val="clear" w:color="auto" w:fill="auto"/>
            <w:tcMar>
              <w:top w:w="0" w:type="dxa"/>
              <w:left w:w="105" w:type="dxa"/>
              <w:bottom w:w="0" w:type="dxa"/>
              <w:right w:w="105" w:type="dxa"/>
            </w:tcMar>
            <w:vAlign w:val="center"/>
          </w:tcPr>
          <w:p w14:paraId="2D8ACBA4">
            <w:pPr>
              <w:widowControl/>
              <w:spacing w:before="100" w:beforeAutospacing="1" w:after="100" w:afterAutospacing="1"/>
              <w:jc w:val="center"/>
              <w:rPr>
                <w:rFonts w:hint="eastAsia" w:ascii="宋体" w:hAnsi="宋体" w:eastAsia="宋体" w:cs="宋体"/>
                <w:kern w:val="0"/>
                <w:sz w:val="24"/>
                <w:szCs w:val="24"/>
              </w:rPr>
            </w:pPr>
            <w:r>
              <w:rPr>
                <w:rFonts w:hint="eastAsia" w:ascii="宋体" w:hAnsi="宋体" w:eastAsia="宋体" w:cs="宋体"/>
                <w:b/>
                <w:bCs/>
                <w:kern w:val="0"/>
                <w:sz w:val="24"/>
                <w:szCs w:val="24"/>
              </w:rPr>
              <w:t>序号</w:t>
            </w:r>
            <w:r>
              <w:rPr>
                <w:rFonts w:hint="eastAsia" w:ascii="宋体" w:hAnsi="宋体" w:eastAsia="宋体" w:cs="宋体"/>
                <w:kern w:val="0"/>
                <w:sz w:val="24"/>
                <w:szCs w:val="24"/>
              </w:rPr>
              <w:t xml:space="preserve"> </w:t>
            </w:r>
          </w:p>
        </w:tc>
        <w:tc>
          <w:tcPr>
            <w:tcW w:w="1798" w:type="dxa"/>
            <w:shd w:val="clear" w:color="auto" w:fill="auto"/>
            <w:tcMar>
              <w:top w:w="0" w:type="dxa"/>
              <w:left w:w="105" w:type="dxa"/>
              <w:bottom w:w="0" w:type="dxa"/>
              <w:right w:w="105" w:type="dxa"/>
            </w:tcMar>
            <w:vAlign w:val="center"/>
          </w:tcPr>
          <w:p w14:paraId="43AED867">
            <w:pPr>
              <w:widowControl/>
              <w:spacing w:before="100" w:beforeAutospacing="1" w:after="100" w:afterAutospacing="1"/>
              <w:jc w:val="center"/>
              <w:rPr>
                <w:rFonts w:hint="eastAsia" w:ascii="宋体" w:hAnsi="宋体" w:eastAsia="宋体" w:cs="宋体"/>
                <w:kern w:val="0"/>
                <w:sz w:val="24"/>
                <w:szCs w:val="24"/>
              </w:rPr>
            </w:pPr>
            <w:r>
              <w:rPr>
                <w:rFonts w:hint="eastAsia" w:ascii="宋体" w:hAnsi="宋体" w:eastAsia="宋体" w:cs="宋体"/>
                <w:b/>
                <w:bCs/>
                <w:kern w:val="0"/>
                <w:sz w:val="24"/>
                <w:szCs w:val="24"/>
              </w:rPr>
              <w:t>运行环节</w:t>
            </w:r>
            <w:r>
              <w:rPr>
                <w:rFonts w:hint="eastAsia" w:ascii="宋体" w:hAnsi="宋体" w:eastAsia="宋体" w:cs="宋体"/>
                <w:kern w:val="0"/>
                <w:sz w:val="24"/>
                <w:szCs w:val="24"/>
              </w:rPr>
              <w:t xml:space="preserve"> </w:t>
            </w:r>
          </w:p>
        </w:tc>
        <w:tc>
          <w:tcPr>
            <w:tcW w:w="6010" w:type="dxa"/>
            <w:shd w:val="clear" w:color="auto" w:fill="auto"/>
            <w:tcMar>
              <w:top w:w="0" w:type="dxa"/>
              <w:left w:w="105" w:type="dxa"/>
              <w:bottom w:w="0" w:type="dxa"/>
              <w:right w:w="105" w:type="dxa"/>
            </w:tcMar>
            <w:vAlign w:val="center"/>
          </w:tcPr>
          <w:p w14:paraId="649106A1">
            <w:pPr>
              <w:widowControl/>
              <w:spacing w:before="100" w:beforeAutospacing="1" w:after="100" w:afterAutospacing="1"/>
              <w:jc w:val="center"/>
              <w:rPr>
                <w:rFonts w:hint="eastAsia" w:ascii="宋体" w:hAnsi="宋体" w:eastAsia="宋体" w:cs="宋体"/>
                <w:kern w:val="0"/>
                <w:sz w:val="24"/>
                <w:szCs w:val="24"/>
              </w:rPr>
            </w:pPr>
            <w:r>
              <w:rPr>
                <w:rFonts w:hint="eastAsia" w:ascii="宋体" w:hAnsi="宋体" w:eastAsia="宋体" w:cs="宋体"/>
                <w:b/>
                <w:bCs/>
                <w:kern w:val="0"/>
                <w:sz w:val="24"/>
                <w:szCs w:val="24"/>
              </w:rPr>
              <w:t>责任事项</w:t>
            </w:r>
            <w:r>
              <w:rPr>
                <w:rFonts w:hint="eastAsia" w:ascii="宋体" w:hAnsi="宋体" w:eastAsia="宋体" w:cs="宋体"/>
                <w:kern w:val="0"/>
                <w:sz w:val="24"/>
                <w:szCs w:val="24"/>
              </w:rPr>
              <w:t xml:space="preserve"> </w:t>
            </w:r>
          </w:p>
        </w:tc>
      </w:tr>
      <w:tr w14:paraId="14B11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5" w:hRule="atLeast"/>
          <w:tblCellSpacing w:w="0" w:type="dxa"/>
        </w:trPr>
        <w:tc>
          <w:tcPr>
            <w:tcW w:w="798" w:type="dxa"/>
            <w:shd w:val="clear" w:color="auto" w:fill="auto"/>
            <w:tcMar>
              <w:top w:w="0" w:type="dxa"/>
              <w:left w:w="105" w:type="dxa"/>
              <w:bottom w:w="0" w:type="dxa"/>
              <w:right w:w="105" w:type="dxa"/>
            </w:tcMar>
            <w:vAlign w:val="center"/>
          </w:tcPr>
          <w:p w14:paraId="1D506D6F">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1 </w:t>
            </w:r>
          </w:p>
        </w:tc>
        <w:tc>
          <w:tcPr>
            <w:tcW w:w="1798" w:type="dxa"/>
            <w:shd w:val="clear" w:color="auto" w:fill="auto"/>
            <w:tcMar>
              <w:top w:w="0" w:type="dxa"/>
              <w:left w:w="105" w:type="dxa"/>
              <w:bottom w:w="0" w:type="dxa"/>
              <w:right w:w="105" w:type="dxa"/>
            </w:tcMar>
            <w:vAlign w:val="center"/>
          </w:tcPr>
          <w:p w14:paraId="00A6E2B2">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b/>
                <w:bCs/>
                <w:kern w:val="0"/>
                <w:sz w:val="24"/>
                <w:szCs w:val="24"/>
              </w:rPr>
              <w:t>(一)立案</w:t>
            </w:r>
            <w:r>
              <w:rPr>
                <w:rFonts w:hint="eastAsia" w:ascii="宋体" w:hAnsi="宋体" w:eastAsia="宋体" w:cs="宋体"/>
                <w:kern w:val="0"/>
                <w:sz w:val="24"/>
                <w:szCs w:val="24"/>
              </w:rPr>
              <w:t xml:space="preserve"> </w:t>
            </w:r>
          </w:p>
        </w:tc>
        <w:tc>
          <w:tcPr>
            <w:tcW w:w="6010" w:type="dxa"/>
            <w:shd w:val="clear" w:color="auto" w:fill="auto"/>
            <w:tcMar>
              <w:top w:w="0" w:type="dxa"/>
              <w:left w:w="105" w:type="dxa"/>
              <w:bottom w:w="0" w:type="dxa"/>
              <w:right w:w="105" w:type="dxa"/>
            </w:tcMar>
            <w:vAlign w:val="center"/>
          </w:tcPr>
          <w:p w14:paraId="7736D864">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      对符合立案条件的案件及时立案。 </w:t>
            </w:r>
          </w:p>
        </w:tc>
      </w:tr>
      <w:tr w14:paraId="17C19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tblCellSpacing w:w="0" w:type="dxa"/>
        </w:trPr>
        <w:tc>
          <w:tcPr>
            <w:tcW w:w="798" w:type="dxa"/>
            <w:shd w:val="clear" w:color="auto" w:fill="auto"/>
            <w:tcMar>
              <w:top w:w="0" w:type="dxa"/>
              <w:left w:w="105" w:type="dxa"/>
              <w:bottom w:w="0" w:type="dxa"/>
              <w:right w:w="105" w:type="dxa"/>
            </w:tcMar>
            <w:vAlign w:val="center"/>
          </w:tcPr>
          <w:p w14:paraId="776E665C">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2 </w:t>
            </w:r>
          </w:p>
        </w:tc>
        <w:tc>
          <w:tcPr>
            <w:tcW w:w="1798" w:type="dxa"/>
            <w:vMerge w:val="restart"/>
            <w:shd w:val="clear" w:color="auto" w:fill="auto"/>
            <w:tcMar>
              <w:top w:w="0" w:type="dxa"/>
              <w:left w:w="105" w:type="dxa"/>
              <w:bottom w:w="0" w:type="dxa"/>
              <w:right w:w="105" w:type="dxa"/>
            </w:tcMar>
            <w:vAlign w:val="center"/>
          </w:tcPr>
          <w:p w14:paraId="296F0137">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b/>
                <w:bCs/>
                <w:kern w:val="0"/>
                <w:sz w:val="24"/>
                <w:szCs w:val="24"/>
              </w:rPr>
              <w:t>(二)调查</w:t>
            </w:r>
            <w:r>
              <w:rPr>
                <w:rFonts w:hint="eastAsia" w:ascii="宋体" w:hAnsi="宋体" w:eastAsia="宋体" w:cs="宋体"/>
                <w:kern w:val="0"/>
                <w:sz w:val="24"/>
                <w:szCs w:val="24"/>
              </w:rPr>
              <w:t xml:space="preserve"> </w:t>
            </w:r>
          </w:p>
        </w:tc>
        <w:tc>
          <w:tcPr>
            <w:tcW w:w="6010" w:type="dxa"/>
            <w:shd w:val="clear" w:color="auto" w:fill="auto"/>
            <w:tcMar>
              <w:top w:w="0" w:type="dxa"/>
              <w:left w:w="105" w:type="dxa"/>
              <w:bottom w:w="0" w:type="dxa"/>
              <w:right w:w="105" w:type="dxa"/>
            </w:tcMar>
            <w:vAlign w:val="center"/>
          </w:tcPr>
          <w:p w14:paraId="6034ABD6">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      出示执法身份证件,表明执法身份。 </w:t>
            </w:r>
          </w:p>
        </w:tc>
      </w:tr>
      <w:tr w14:paraId="07361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5" w:hRule="atLeast"/>
          <w:tblCellSpacing w:w="0" w:type="dxa"/>
        </w:trPr>
        <w:tc>
          <w:tcPr>
            <w:tcW w:w="798" w:type="dxa"/>
            <w:shd w:val="clear" w:color="auto" w:fill="auto"/>
            <w:tcMar>
              <w:top w:w="0" w:type="dxa"/>
              <w:left w:w="105" w:type="dxa"/>
              <w:bottom w:w="0" w:type="dxa"/>
              <w:right w:w="105" w:type="dxa"/>
            </w:tcMar>
            <w:vAlign w:val="center"/>
          </w:tcPr>
          <w:p w14:paraId="5FF1585D">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3 </w:t>
            </w:r>
          </w:p>
        </w:tc>
        <w:tc>
          <w:tcPr>
            <w:tcW w:w="1798" w:type="dxa"/>
            <w:vMerge w:val="continue"/>
            <w:vAlign w:val="center"/>
          </w:tcPr>
          <w:p w14:paraId="5D9B3AEB">
            <w:pPr>
              <w:widowControl/>
              <w:jc w:val="left"/>
              <w:rPr>
                <w:rFonts w:ascii="宋体" w:hAnsi="宋体" w:eastAsia="宋体" w:cs="宋体"/>
                <w:kern w:val="0"/>
                <w:sz w:val="24"/>
                <w:szCs w:val="24"/>
              </w:rPr>
            </w:pPr>
          </w:p>
        </w:tc>
        <w:tc>
          <w:tcPr>
            <w:tcW w:w="6010" w:type="dxa"/>
            <w:shd w:val="clear" w:color="auto" w:fill="auto"/>
            <w:tcMar>
              <w:top w:w="0" w:type="dxa"/>
              <w:left w:w="105" w:type="dxa"/>
              <w:bottom w:w="0" w:type="dxa"/>
              <w:right w:w="105" w:type="dxa"/>
            </w:tcMar>
            <w:vAlign w:val="center"/>
          </w:tcPr>
          <w:p w14:paraId="14B05CC0">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      应当有2名以上(含2名)行政执法人员共同参加调查取证。 </w:t>
            </w:r>
          </w:p>
        </w:tc>
      </w:tr>
      <w:tr w14:paraId="48137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tblCellSpacing w:w="0" w:type="dxa"/>
        </w:trPr>
        <w:tc>
          <w:tcPr>
            <w:tcW w:w="798" w:type="dxa"/>
            <w:shd w:val="clear" w:color="auto" w:fill="auto"/>
            <w:tcMar>
              <w:top w:w="0" w:type="dxa"/>
              <w:left w:w="105" w:type="dxa"/>
              <w:bottom w:w="0" w:type="dxa"/>
              <w:right w:w="105" w:type="dxa"/>
            </w:tcMar>
            <w:vAlign w:val="center"/>
          </w:tcPr>
          <w:p w14:paraId="269067E0">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4 </w:t>
            </w:r>
          </w:p>
        </w:tc>
        <w:tc>
          <w:tcPr>
            <w:tcW w:w="1798" w:type="dxa"/>
            <w:vMerge w:val="continue"/>
            <w:vAlign w:val="center"/>
          </w:tcPr>
          <w:p w14:paraId="63C2F18A">
            <w:pPr>
              <w:widowControl/>
              <w:jc w:val="left"/>
              <w:rPr>
                <w:rFonts w:ascii="宋体" w:hAnsi="宋体" w:eastAsia="宋体" w:cs="宋体"/>
                <w:kern w:val="0"/>
                <w:sz w:val="24"/>
                <w:szCs w:val="24"/>
              </w:rPr>
            </w:pPr>
          </w:p>
        </w:tc>
        <w:tc>
          <w:tcPr>
            <w:tcW w:w="6010" w:type="dxa"/>
            <w:shd w:val="clear" w:color="auto" w:fill="auto"/>
            <w:tcMar>
              <w:top w:w="0" w:type="dxa"/>
              <w:left w:w="105" w:type="dxa"/>
              <w:bottom w:w="0" w:type="dxa"/>
              <w:right w:w="105" w:type="dxa"/>
            </w:tcMar>
            <w:vAlign w:val="center"/>
          </w:tcPr>
          <w:p w14:paraId="1BF289D1">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      依法调查和保存证据。 </w:t>
            </w:r>
          </w:p>
        </w:tc>
      </w:tr>
      <w:tr w14:paraId="27E1B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0" w:hRule="atLeast"/>
          <w:tblCellSpacing w:w="0" w:type="dxa"/>
        </w:trPr>
        <w:tc>
          <w:tcPr>
            <w:tcW w:w="798" w:type="dxa"/>
            <w:shd w:val="clear" w:color="auto" w:fill="auto"/>
            <w:tcMar>
              <w:top w:w="0" w:type="dxa"/>
              <w:left w:w="105" w:type="dxa"/>
              <w:bottom w:w="0" w:type="dxa"/>
              <w:right w:w="105" w:type="dxa"/>
            </w:tcMar>
            <w:vAlign w:val="center"/>
          </w:tcPr>
          <w:p w14:paraId="33666AA0">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5 </w:t>
            </w:r>
          </w:p>
        </w:tc>
        <w:tc>
          <w:tcPr>
            <w:tcW w:w="1798" w:type="dxa"/>
            <w:vMerge w:val="continue"/>
            <w:vAlign w:val="center"/>
          </w:tcPr>
          <w:p w14:paraId="3C814F9E">
            <w:pPr>
              <w:widowControl/>
              <w:jc w:val="left"/>
              <w:rPr>
                <w:rFonts w:ascii="宋体" w:hAnsi="宋体" w:eastAsia="宋体" w:cs="宋体"/>
                <w:kern w:val="0"/>
                <w:sz w:val="24"/>
                <w:szCs w:val="24"/>
              </w:rPr>
            </w:pPr>
          </w:p>
        </w:tc>
        <w:tc>
          <w:tcPr>
            <w:tcW w:w="6010" w:type="dxa"/>
            <w:shd w:val="clear" w:color="auto" w:fill="auto"/>
            <w:tcMar>
              <w:top w:w="0" w:type="dxa"/>
              <w:left w:w="105" w:type="dxa"/>
              <w:bottom w:w="0" w:type="dxa"/>
              <w:right w:w="105" w:type="dxa"/>
            </w:tcMar>
            <w:vAlign w:val="center"/>
          </w:tcPr>
          <w:p w14:paraId="33002A8D">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      适用简易程序的,当场制作行政处罚决定书并当场交付,在事后难以执行及特殊情况下应当当场收缴罚款。 </w:t>
            </w:r>
          </w:p>
        </w:tc>
      </w:tr>
      <w:tr w14:paraId="59D4C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tblCellSpacing w:w="0" w:type="dxa"/>
        </w:trPr>
        <w:tc>
          <w:tcPr>
            <w:tcW w:w="798" w:type="dxa"/>
            <w:shd w:val="clear" w:color="auto" w:fill="auto"/>
            <w:tcMar>
              <w:top w:w="0" w:type="dxa"/>
              <w:left w:w="105" w:type="dxa"/>
              <w:bottom w:w="0" w:type="dxa"/>
              <w:right w:w="105" w:type="dxa"/>
            </w:tcMar>
            <w:vAlign w:val="center"/>
          </w:tcPr>
          <w:p w14:paraId="637F9D69">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6 </w:t>
            </w:r>
          </w:p>
        </w:tc>
        <w:tc>
          <w:tcPr>
            <w:tcW w:w="1798" w:type="dxa"/>
            <w:vMerge w:val="continue"/>
            <w:vAlign w:val="center"/>
          </w:tcPr>
          <w:p w14:paraId="651A0792">
            <w:pPr>
              <w:widowControl/>
              <w:jc w:val="left"/>
              <w:rPr>
                <w:rFonts w:ascii="宋体" w:hAnsi="宋体" w:eastAsia="宋体" w:cs="宋体"/>
                <w:kern w:val="0"/>
                <w:sz w:val="24"/>
                <w:szCs w:val="24"/>
              </w:rPr>
            </w:pPr>
          </w:p>
        </w:tc>
        <w:tc>
          <w:tcPr>
            <w:tcW w:w="6010" w:type="dxa"/>
            <w:shd w:val="clear" w:color="auto" w:fill="auto"/>
            <w:tcMar>
              <w:top w:w="0" w:type="dxa"/>
              <w:left w:w="105" w:type="dxa"/>
              <w:bottom w:w="0" w:type="dxa"/>
              <w:right w:w="105" w:type="dxa"/>
            </w:tcMar>
            <w:vAlign w:val="center"/>
          </w:tcPr>
          <w:p w14:paraId="6A7F99E7">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      适用简易程序的,执法人员当场作出的行政处罚决定应当报所属行政机关备案。 </w:t>
            </w:r>
          </w:p>
        </w:tc>
      </w:tr>
      <w:tr w14:paraId="693B6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65" w:hRule="atLeast"/>
          <w:tblCellSpacing w:w="0" w:type="dxa"/>
        </w:trPr>
        <w:tc>
          <w:tcPr>
            <w:tcW w:w="798" w:type="dxa"/>
            <w:shd w:val="clear" w:color="auto" w:fill="auto"/>
            <w:tcMar>
              <w:top w:w="0" w:type="dxa"/>
              <w:left w:w="105" w:type="dxa"/>
              <w:bottom w:w="0" w:type="dxa"/>
              <w:right w:w="105" w:type="dxa"/>
            </w:tcMar>
            <w:vAlign w:val="center"/>
          </w:tcPr>
          <w:p w14:paraId="253B0235">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7 </w:t>
            </w:r>
          </w:p>
        </w:tc>
        <w:tc>
          <w:tcPr>
            <w:tcW w:w="1798" w:type="dxa"/>
            <w:vMerge w:val="restart"/>
            <w:shd w:val="clear" w:color="auto" w:fill="auto"/>
            <w:tcMar>
              <w:top w:w="0" w:type="dxa"/>
              <w:left w:w="105" w:type="dxa"/>
              <w:bottom w:w="0" w:type="dxa"/>
              <w:right w:w="105" w:type="dxa"/>
            </w:tcMar>
            <w:vAlign w:val="center"/>
          </w:tcPr>
          <w:p w14:paraId="404BE04C">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b/>
                <w:bCs/>
                <w:kern w:val="0"/>
                <w:sz w:val="24"/>
                <w:szCs w:val="24"/>
              </w:rPr>
              <w:t>(三)审查</w:t>
            </w:r>
            <w:r>
              <w:rPr>
                <w:rFonts w:hint="eastAsia" w:ascii="宋体" w:hAnsi="宋体" w:eastAsia="宋体" w:cs="宋体"/>
                <w:kern w:val="0"/>
                <w:sz w:val="24"/>
                <w:szCs w:val="24"/>
              </w:rPr>
              <w:t xml:space="preserve"> </w:t>
            </w:r>
          </w:p>
        </w:tc>
        <w:tc>
          <w:tcPr>
            <w:tcW w:w="6010" w:type="dxa"/>
            <w:shd w:val="clear" w:color="auto" w:fill="auto"/>
            <w:tcMar>
              <w:top w:w="0" w:type="dxa"/>
              <w:left w:w="105" w:type="dxa"/>
              <w:bottom w:w="0" w:type="dxa"/>
              <w:right w:w="105" w:type="dxa"/>
            </w:tcMar>
            <w:vAlign w:val="center"/>
          </w:tcPr>
          <w:p w14:paraId="01D860C7">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      审理案件调查报告,对案件违法事实、证据、调查取证程序、法律适用、处罚种类和幅度、当事人陈述和申辩理由等方面进行审查,提出处理意见(主要证据不足时,以适当的方式补充调查)。 </w:t>
            </w:r>
          </w:p>
        </w:tc>
      </w:tr>
      <w:tr w14:paraId="79749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5" w:hRule="atLeast"/>
          <w:tblCellSpacing w:w="0" w:type="dxa"/>
        </w:trPr>
        <w:tc>
          <w:tcPr>
            <w:tcW w:w="798" w:type="dxa"/>
            <w:shd w:val="clear" w:color="auto" w:fill="auto"/>
            <w:tcMar>
              <w:top w:w="0" w:type="dxa"/>
              <w:left w:w="105" w:type="dxa"/>
              <w:bottom w:w="0" w:type="dxa"/>
              <w:right w:w="105" w:type="dxa"/>
            </w:tcMar>
            <w:vAlign w:val="center"/>
          </w:tcPr>
          <w:p w14:paraId="20038035">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8 </w:t>
            </w:r>
          </w:p>
        </w:tc>
        <w:tc>
          <w:tcPr>
            <w:tcW w:w="1798" w:type="dxa"/>
            <w:vMerge w:val="continue"/>
            <w:vAlign w:val="center"/>
          </w:tcPr>
          <w:p w14:paraId="20870142">
            <w:pPr>
              <w:widowControl/>
              <w:jc w:val="left"/>
              <w:rPr>
                <w:rFonts w:ascii="宋体" w:hAnsi="宋体" w:eastAsia="宋体" w:cs="宋体"/>
                <w:kern w:val="0"/>
                <w:sz w:val="24"/>
                <w:szCs w:val="24"/>
              </w:rPr>
            </w:pPr>
          </w:p>
        </w:tc>
        <w:tc>
          <w:tcPr>
            <w:tcW w:w="6010" w:type="dxa"/>
            <w:shd w:val="clear" w:color="auto" w:fill="auto"/>
            <w:tcMar>
              <w:top w:w="0" w:type="dxa"/>
              <w:left w:w="105" w:type="dxa"/>
              <w:bottom w:w="0" w:type="dxa"/>
              <w:right w:w="105" w:type="dxa"/>
            </w:tcMar>
            <w:vAlign w:val="center"/>
          </w:tcPr>
          <w:p w14:paraId="6109A6D1">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      构成犯罪的,移送司法机关依法追究刑事责任。 </w:t>
            </w:r>
          </w:p>
        </w:tc>
      </w:tr>
      <w:tr w14:paraId="5B50E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5" w:hRule="atLeast"/>
          <w:tblCellSpacing w:w="0" w:type="dxa"/>
        </w:trPr>
        <w:tc>
          <w:tcPr>
            <w:tcW w:w="798" w:type="dxa"/>
            <w:shd w:val="clear" w:color="auto" w:fill="auto"/>
            <w:tcMar>
              <w:top w:w="0" w:type="dxa"/>
              <w:left w:w="105" w:type="dxa"/>
              <w:bottom w:w="0" w:type="dxa"/>
              <w:right w:w="105" w:type="dxa"/>
            </w:tcMar>
            <w:vAlign w:val="center"/>
          </w:tcPr>
          <w:p w14:paraId="2CE2D6E4">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9 </w:t>
            </w:r>
          </w:p>
        </w:tc>
        <w:tc>
          <w:tcPr>
            <w:tcW w:w="1798" w:type="dxa"/>
            <w:vMerge w:val="restart"/>
            <w:shd w:val="clear" w:color="auto" w:fill="auto"/>
            <w:tcMar>
              <w:top w:w="0" w:type="dxa"/>
              <w:left w:w="105" w:type="dxa"/>
              <w:bottom w:w="0" w:type="dxa"/>
              <w:right w:w="105" w:type="dxa"/>
            </w:tcMar>
            <w:vAlign w:val="center"/>
          </w:tcPr>
          <w:p w14:paraId="3D466E00">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b/>
                <w:bCs/>
                <w:kern w:val="0"/>
                <w:sz w:val="24"/>
                <w:szCs w:val="24"/>
              </w:rPr>
              <w:t>(四)告知</w:t>
            </w:r>
            <w:r>
              <w:rPr>
                <w:rFonts w:hint="eastAsia" w:ascii="宋体" w:hAnsi="宋体" w:eastAsia="宋体" w:cs="宋体"/>
                <w:kern w:val="0"/>
                <w:sz w:val="24"/>
                <w:szCs w:val="24"/>
              </w:rPr>
              <w:t xml:space="preserve"> </w:t>
            </w:r>
          </w:p>
        </w:tc>
        <w:tc>
          <w:tcPr>
            <w:tcW w:w="6010" w:type="dxa"/>
            <w:shd w:val="clear" w:color="auto" w:fill="auto"/>
            <w:tcMar>
              <w:top w:w="0" w:type="dxa"/>
              <w:left w:w="105" w:type="dxa"/>
              <w:bottom w:w="0" w:type="dxa"/>
              <w:right w:w="105" w:type="dxa"/>
            </w:tcMar>
            <w:vAlign w:val="center"/>
          </w:tcPr>
          <w:p w14:paraId="7AFF92A1">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      在作出行政处罚前,应告知当事人作出行政处罚决定的事实、理由及依据,并告知当事人依法享有的权利。 </w:t>
            </w:r>
          </w:p>
        </w:tc>
      </w:tr>
      <w:tr w14:paraId="59A99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5" w:hRule="atLeast"/>
          <w:tblCellSpacing w:w="0" w:type="dxa"/>
        </w:trPr>
        <w:tc>
          <w:tcPr>
            <w:tcW w:w="798" w:type="dxa"/>
            <w:shd w:val="clear" w:color="auto" w:fill="auto"/>
            <w:tcMar>
              <w:top w:w="0" w:type="dxa"/>
              <w:left w:w="105" w:type="dxa"/>
              <w:bottom w:w="0" w:type="dxa"/>
              <w:right w:w="105" w:type="dxa"/>
            </w:tcMar>
            <w:vAlign w:val="center"/>
          </w:tcPr>
          <w:p w14:paraId="40BB4847">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10 </w:t>
            </w:r>
          </w:p>
        </w:tc>
        <w:tc>
          <w:tcPr>
            <w:tcW w:w="1798" w:type="dxa"/>
            <w:vMerge w:val="continue"/>
            <w:vAlign w:val="center"/>
          </w:tcPr>
          <w:p w14:paraId="55E435A3">
            <w:pPr>
              <w:widowControl/>
              <w:jc w:val="left"/>
              <w:rPr>
                <w:rFonts w:ascii="宋体" w:hAnsi="宋体" w:eastAsia="宋体" w:cs="宋体"/>
                <w:kern w:val="0"/>
                <w:sz w:val="24"/>
                <w:szCs w:val="24"/>
              </w:rPr>
            </w:pPr>
          </w:p>
        </w:tc>
        <w:tc>
          <w:tcPr>
            <w:tcW w:w="6010" w:type="dxa"/>
            <w:shd w:val="clear" w:color="auto" w:fill="auto"/>
            <w:tcMar>
              <w:top w:w="0" w:type="dxa"/>
              <w:left w:w="105" w:type="dxa"/>
              <w:bottom w:w="0" w:type="dxa"/>
              <w:right w:w="105" w:type="dxa"/>
            </w:tcMar>
            <w:vAlign w:val="center"/>
          </w:tcPr>
          <w:p w14:paraId="03232887">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      依法告知当事人有举行听证的权利,当事人要求听证的,应当依法组织听证。 </w:t>
            </w:r>
          </w:p>
        </w:tc>
      </w:tr>
      <w:tr w14:paraId="49E36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20" w:hRule="atLeast"/>
          <w:tblCellSpacing w:w="0" w:type="dxa"/>
        </w:trPr>
        <w:tc>
          <w:tcPr>
            <w:tcW w:w="798" w:type="dxa"/>
            <w:shd w:val="clear" w:color="auto" w:fill="auto"/>
            <w:tcMar>
              <w:top w:w="0" w:type="dxa"/>
              <w:left w:w="105" w:type="dxa"/>
              <w:bottom w:w="0" w:type="dxa"/>
              <w:right w:w="105" w:type="dxa"/>
            </w:tcMar>
            <w:vAlign w:val="center"/>
          </w:tcPr>
          <w:p w14:paraId="793909B2">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11 </w:t>
            </w:r>
          </w:p>
        </w:tc>
        <w:tc>
          <w:tcPr>
            <w:tcW w:w="1798" w:type="dxa"/>
            <w:vMerge w:val="restart"/>
            <w:shd w:val="clear" w:color="auto" w:fill="auto"/>
            <w:tcMar>
              <w:top w:w="0" w:type="dxa"/>
              <w:left w:w="105" w:type="dxa"/>
              <w:bottom w:w="0" w:type="dxa"/>
              <w:right w:w="105" w:type="dxa"/>
            </w:tcMar>
            <w:vAlign w:val="center"/>
          </w:tcPr>
          <w:p w14:paraId="234075FC">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b/>
                <w:bCs/>
                <w:kern w:val="0"/>
                <w:sz w:val="24"/>
                <w:szCs w:val="24"/>
              </w:rPr>
              <w:t>(五)决定</w:t>
            </w:r>
            <w:r>
              <w:rPr>
                <w:rFonts w:hint="eastAsia" w:ascii="宋体" w:hAnsi="宋体" w:eastAsia="宋体" w:cs="宋体"/>
                <w:kern w:val="0"/>
                <w:sz w:val="24"/>
                <w:szCs w:val="24"/>
              </w:rPr>
              <w:t xml:space="preserve"> </w:t>
            </w:r>
          </w:p>
        </w:tc>
        <w:tc>
          <w:tcPr>
            <w:tcW w:w="6010" w:type="dxa"/>
            <w:shd w:val="clear" w:color="auto" w:fill="auto"/>
            <w:tcMar>
              <w:top w:w="0" w:type="dxa"/>
              <w:left w:w="105" w:type="dxa"/>
              <w:bottom w:w="0" w:type="dxa"/>
              <w:right w:w="105" w:type="dxa"/>
            </w:tcMar>
            <w:vAlign w:val="center"/>
          </w:tcPr>
          <w:p w14:paraId="32BCA7AF">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充分听取当事人的意见,对当事人提出的事实、理由和证据,应当进行复核;当事人提出的事实、理由或者证据成立的,应当</w:t>
            </w:r>
            <w:r>
              <w:rPr>
                <w:rFonts w:hint="eastAsia" w:ascii="宋体" w:hAnsi="宋体" w:eastAsia="宋体" w:cs="宋体"/>
                <w:color w:val="000000"/>
                <w:kern w:val="0"/>
                <w:sz w:val="24"/>
                <w:szCs w:val="24"/>
              </w:rPr>
              <w:t>采纳,不得因当事人申辩而加重处罚。</w:t>
            </w:r>
            <w:r>
              <w:rPr>
                <w:rFonts w:hint="eastAsia" w:ascii="宋体" w:hAnsi="宋体" w:eastAsia="宋体" w:cs="宋体"/>
                <w:kern w:val="0"/>
                <w:sz w:val="24"/>
                <w:szCs w:val="24"/>
              </w:rPr>
              <w:t xml:space="preserve"> </w:t>
            </w:r>
          </w:p>
        </w:tc>
      </w:tr>
      <w:tr w14:paraId="3783A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5" w:hRule="atLeast"/>
          <w:tblCellSpacing w:w="0" w:type="dxa"/>
        </w:trPr>
        <w:tc>
          <w:tcPr>
            <w:tcW w:w="798" w:type="dxa"/>
            <w:shd w:val="clear" w:color="auto" w:fill="auto"/>
            <w:tcMar>
              <w:top w:w="0" w:type="dxa"/>
              <w:left w:w="105" w:type="dxa"/>
              <w:bottom w:w="0" w:type="dxa"/>
              <w:right w:w="105" w:type="dxa"/>
            </w:tcMar>
            <w:vAlign w:val="center"/>
          </w:tcPr>
          <w:p w14:paraId="35FF5E4B">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12 </w:t>
            </w:r>
          </w:p>
        </w:tc>
        <w:tc>
          <w:tcPr>
            <w:tcW w:w="1798" w:type="dxa"/>
            <w:vMerge w:val="continue"/>
            <w:vAlign w:val="center"/>
          </w:tcPr>
          <w:p w14:paraId="7010968A">
            <w:pPr>
              <w:widowControl/>
              <w:jc w:val="left"/>
              <w:rPr>
                <w:rFonts w:ascii="宋体" w:hAnsi="宋体" w:eastAsia="宋体" w:cs="宋体"/>
                <w:kern w:val="0"/>
                <w:sz w:val="24"/>
                <w:szCs w:val="24"/>
              </w:rPr>
            </w:pPr>
          </w:p>
        </w:tc>
        <w:tc>
          <w:tcPr>
            <w:tcW w:w="6010" w:type="dxa"/>
            <w:shd w:val="clear" w:color="auto" w:fill="auto"/>
            <w:tcMar>
              <w:top w:w="0" w:type="dxa"/>
              <w:left w:w="105" w:type="dxa"/>
              <w:bottom w:w="0" w:type="dxa"/>
              <w:right w:w="105" w:type="dxa"/>
            </w:tcMar>
            <w:vAlign w:val="center"/>
          </w:tcPr>
          <w:p w14:paraId="29BBE481">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      对情节复杂或者重大违法行为给予较重的行政处罚,应当集体讨论决定。 </w:t>
            </w:r>
          </w:p>
        </w:tc>
      </w:tr>
      <w:tr w14:paraId="2CB8E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5" w:hRule="atLeast"/>
          <w:tblCellSpacing w:w="0" w:type="dxa"/>
        </w:trPr>
        <w:tc>
          <w:tcPr>
            <w:tcW w:w="798" w:type="dxa"/>
            <w:shd w:val="clear" w:color="auto" w:fill="auto"/>
            <w:tcMar>
              <w:top w:w="0" w:type="dxa"/>
              <w:left w:w="105" w:type="dxa"/>
              <w:bottom w:w="0" w:type="dxa"/>
              <w:right w:w="105" w:type="dxa"/>
            </w:tcMar>
            <w:vAlign w:val="center"/>
          </w:tcPr>
          <w:p w14:paraId="01443677">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13 </w:t>
            </w:r>
          </w:p>
        </w:tc>
        <w:tc>
          <w:tcPr>
            <w:tcW w:w="1798" w:type="dxa"/>
            <w:vMerge w:val="continue"/>
            <w:vAlign w:val="center"/>
          </w:tcPr>
          <w:p w14:paraId="45EBC7A7">
            <w:pPr>
              <w:widowControl/>
              <w:jc w:val="left"/>
              <w:rPr>
                <w:rFonts w:ascii="宋体" w:hAnsi="宋体" w:eastAsia="宋体" w:cs="宋体"/>
                <w:kern w:val="0"/>
                <w:sz w:val="24"/>
                <w:szCs w:val="24"/>
              </w:rPr>
            </w:pPr>
          </w:p>
        </w:tc>
        <w:tc>
          <w:tcPr>
            <w:tcW w:w="6010" w:type="dxa"/>
            <w:shd w:val="clear" w:color="auto" w:fill="auto"/>
            <w:tcMar>
              <w:top w:w="0" w:type="dxa"/>
              <w:left w:w="105" w:type="dxa"/>
              <w:bottom w:w="0" w:type="dxa"/>
              <w:right w:w="105" w:type="dxa"/>
            </w:tcMar>
            <w:vAlign w:val="center"/>
          </w:tcPr>
          <w:p w14:paraId="4F83F8D1">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      依法决定给予行政处罚,制作行政处罚决定书,并在处罚决定书中告知对处罚决定不服的可以依法申请行政复议或者提起行政诉讼。 </w:t>
            </w:r>
          </w:p>
        </w:tc>
      </w:tr>
      <w:tr w14:paraId="71B2F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0" w:hRule="atLeast"/>
          <w:tblCellSpacing w:w="0" w:type="dxa"/>
        </w:trPr>
        <w:tc>
          <w:tcPr>
            <w:tcW w:w="798" w:type="dxa"/>
            <w:shd w:val="clear" w:color="auto" w:fill="auto"/>
            <w:tcMar>
              <w:top w:w="0" w:type="dxa"/>
              <w:left w:w="105" w:type="dxa"/>
              <w:bottom w:w="0" w:type="dxa"/>
              <w:right w:w="105" w:type="dxa"/>
            </w:tcMar>
            <w:vAlign w:val="center"/>
          </w:tcPr>
          <w:p w14:paraId="55EFD9EF">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14 </w:t>
            </w:r>
          </w:p>
        </w:tc>
        <w:tc>
          <w:tcPr>
            <w:tcW w:w="1798" w:type="dxa"/>
            <w:vMerge w:val="restart"/>
            <w:shd w:val="clear" w:color="auto" w:fill="auto"/>
            <w:tcMar>
              <w:top w:w="0" w:type="dxa"/>
              <w:left w:w="105" w:type="dxa"/>
              <w:bottom w:w="0" w:type="dxa"/>
              <w:right w:w="105" w:type="dxa"/>
            </w:tcMar>
            <w:vAlign w:val="center"/>
          </w:tcPr>
          <w:p w14:paraId="52915978">
            <w:pPr>
              <w:widowControl/>
              <w:spacing w:before="100" w:beforeAutospacing="1" w:after="100" w:afterAutospacing="1"/>
              <w:jc w:val="left"/>
              <w:rPr>
                <w:rFonts w:hint="eastAsia" w:ascii="宋体" w:hAnsi="宋体" w:eastAsia="宋体" w:cs="宋体"/>
                <w:kern w:val="0"/>
                <w:sz w:val="24"/>
                <w:szCs w:val="24"/>
              </w:rPr>
            </w:pPr>
          </w:p>
        </w:tc>
        <w:tc>
          <w:tcPr>
            <w:tcW w:w="6010" w:type="dxa"/>
            <w:shd w:val="clear" w:color="auto" w:fill="auto"/>
            <w:tcMar>
              <w:top w:w="0" w:type="dxa"/>
              <w:left w:w="105" w:type="dxa"/>
              <w:bottom w:w="0" w:type="dxa"/>
              <w:right w:w="105" w:type="dxa"/>
            </w:tcMar>
            <w:vAlign w:val="center"/>
          </w:tcPr>
          <w:p w14:paraId="7E443D63">
            <w:pPr>
              <w:widowControl/>
              <w:spacing w:before="100" w:beforeAutospacing="1" w:after="100" w:afterAutospacing="1"/>
              <w:jc w:val="left"/>
              <w:rPr>
                <w:rFonts w:ascii="宋体" w:hAnsi="宋体" w:eastAsia="宋体" w:cs="宋体"/>
                <w:kern w:val="0"/>
                <w:sz w:val="24"/>
                <w:szCs w:val="24"/>
              </w:rPr>
            </w:pPr>
            <w:r>
              <w:rPr>
                <w:rFonts w:hint="eastAsia" w:ascii="宋体" w:hAnsi="宋体" w:eastAsia="宋体" w:cs="宋体"/>
                <w:kern w:val="0"/>
                <w:sz w:val="24"/>
                <w:szCs w:val="24"/>
              </w:rPr>
              <w:t xml:space="preserve">      对当事人的同一个违法行为,不得给予两次以上罚款的行政处罚。 </w:t>
            </w:r>
          </w:p>
        </w:tc>
      </w:tr>
      <w:tr w14:paraId="424D4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5" w:hRule="atLeast"/>
          <w:tblCellSpacing w:w="0" w:type="dxa"/>
        </w:trPr>
        <w:tc>
          <w:tcPr>
            <w:tcW w:w="798" w:type="dxa"/>
            <w:shd w:val="clear" w:color="auto" w:fill="auto"/>
            <w:tcMar>
              <w:top w:w="0" w:type="dxa"/>
              <w:left w:w="105" w:type="dxa"/>
              <w:bottom w:w="0" w:type="dxa"/>
              <w:right w:w="105" w:type="dxa"/>
            </w:tcMar>
            <w:vAlign w:val="center"/>
          </w:tcPr>
          <w:p w14:paraId="4FC7EBA7">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15 </w:t>
            </w:r>
          </w:p>
        </w:tc>
        <w:tc>
          <w:tcPr>
            <w:tcW w:w="1798" w:type="dxa"/>
            <w:vMerge w:val="continue"/>
            <w:vAlign w:val="center"/>
          </w:tcPr>
          <w:p w14:paraId="038F2EA0">
            <w:pPr>
              <w:widowControl/>
              <w:jc w:val="left"/>
              <w:rPr>
                <w:rFonts w:ascii="宋体" w:hAnsi="宋体" w:eastAsia="宋体" w:cs="宋体"/>
                <w:kern w:val="0"/>
                <w:sz w:val="24"/>
                <w:szCs w:val="24"/>
              </w:rPr>
            </w:pPr>
          </w:p>
        </w:tc>
        <w:tc>
          <w:tcPr>
            <w:tcW w:w="6010" w:type="dxa"/>
            <w:shd w:val="clear" w:color="auto" w:fill="auto"/>
            <w:tcMar>
              <w:top w:w="0" w:type="dxa"/>
              <w:left w:w="105" w:type="dxa"/>
              <w:bottom w:w="0" w:type="dxa"/>
              <w:right w:w="105" w:type="dxa"/>
            </w:tcMar>
            <w:vAlign w:val="center"/>
          </w:tcPr>
          <w:p w14:paraId="21D6CFB6">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      实施行政处罚时,应当责令当事人改正或者限期改正违法行为。 </w:t>
            </w:r>
          </w:p>
        </w:tc>
      </w:tr>
      <w:tr w14:paraId="01671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65" w:hRule="atLeast"/>
          <w:tblCellSpacing w:w="0" w:type="dxa"/>
        </w:trPr>
        <w:tc>
          <w:tcPr>
            <w:tcW w:w="798" w:type="dxa"/>
            <w:shd w:val="clear" w:color="auto" w:fill="auto"/>
            <w:tcMar>
              <w:top w:w="0" w:type="dxa"/>
              <w:left w:w="105" w:type="dxa"/>
              <w:bottom w:w="0" w:type="dxa"/>
              <w:right w:w="105" w:type="dxa"/>
            </w:tcMar>
            <w:vAlign w:val="center"/>
          </w:tcPr>
          <w:p w14:paraId="3A999892">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16 </w:t>
            </w:r>
          </w:p>
        </w:tc>
        <w:tc>
          <w:tcPr>
            <w:tcW w:w="1798" w:type="dxa"/>
            <w:shd w:val="clear" w:color="auto" w:fill="auto"/>
            <w:tcMar>
              <w:top w:w="0" w:type="dxa"/>
              <w:left w:w="105" w:type="dxa"/>
              <w:bottom w:w="0" w:type="dxa"/>
              <w:right w:w="105" w:type="dxa"/>
            </w:tcMar>
            <w:vAlign w:val="center"/>
          </w:tcPr>
          <w:p w14:paraId="00C548E1">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b/>
                <w:bCs/>
                <w:kern w:val="0"/>
                <w:sz w:val="24"/>
                <w:szCs w:val="24"/>
              </w:rPr>
              <w:t>(六)送达</w:t>
            </w:r>
            <w:r>
              <w:rPr>
                <w:rFonts w:hint="eastAsia" w:ascii="宋体" w:hAnsi="宋体" w:eastAsia="宋体" w:cs="宋体"/>
                <w:kern w:val="0"/>
                <w:sz w:val="24"/>
                <w:szCs w:val="24"/>
              </w:rPr>
              <w:t xml:space="preserve"> </w:t>
            </w:r>
          </w:p>
        </w:tc>
        <w:tc>
          <w:tcPr>
            <w:tcW w:w="6010" w:type="dxa"/>
            <w:shd w:val="clear" w:color="auto" w:fill="auto"/>
            <w:tcMar>
              <w:top w:w="0" w:type="dxa"/>
              <w:left w:w="105" w:type="dxa"/>
              <w:bottom w:w="0" w:type="dxa"/>
              <w:right w:w="105" w:type="dxa"/>
            </w:tcMar>
            <w:vAlign w:val="center"/>
          </w:tcPr>
          <w:p w14:paraId="4F6A00A0">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      行政处罚决定书应当在宣告后当场交付当事人;当事人不在场的,行政机关应当在7日内依照民事诉讼法的有关规定,将行政处罚决定书送达当事人。 </w:t>
            </w:r>
          </w:p>
        </w:tc>
      </w:tr>
      <w:tr w14:paraId="125CA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5" w:hRule="atLeast"/>
          <w:tblCellSpacing w:w="0" w:type="dxa"/>
        </w:trPr>
        <w:tc>
          <w:tcPr>
            <w:tcW w:w="798" w:type="dxa"/>
            <w:shd w:val="clear" w:color="auto" w:fill="auto"/>
            <w:tcMar>
              <w:top w:w="0" w:type="dxa"/>
              <w:left w:w="105" w:type="dxa"/>
              <w:bottom w:w="0" w:type="dxa"/>
              <w:right w:w="105" w:type="dxa"/>
            </w:tcMar>
            <w:vAlign w:val="center"/>
          </w:tcPr>
          <w:p w14:paraId="7FC42B85">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17 </w:t>
            </w:r>
          </w:p>
        </w:tc>
        <w:tc>
          <w:tcPr>
            <w:tcW w:w="1798" w:type="dxa"/>
            <w:vMerge w:val="restart"/>
            <w:shd w:val="clear" w:color="auto" w:fill="auto"/>
            <w:tcMar>
              <w:top w:w="0" w:type="dxa"/>
              <w:left w:w="105" w:type="dxa"/>
              <w:bottom w:w="0" w:type="dxa"/>
              <w:right w:w="105" w:type="dxa"/>
            </w:tcMar>
            <w:vAlign w:val="center"/>
          </w:tcPr>
          <w:p w14:paraId="25AC977C">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b/>
                <w:bCs/>
                <w:kern w:val="0"/>
                <w:sz w:val="24"/>
                <w:szCs w:val="24"/>
              </w:rPr>
              <w:t>(七)执行</w:t>
            </w:r>
            <w:r>
              <w:rPr>
                <w:rFonts w:hint="eastAsia" w:ascii="宋体" w:hAnsi="宋体" w:eastAsia="宋体" w:cs="宋体"/>
                <w:kern w:val="0"/>
                <w:sz w:val="24"/>
                <w:szCs w:val="24"/>
              </w:rPr>
              <w:t xml:space="preserve"> </w:t>
            </w:r>
          </w:p>
        </w:tc>
        <w:tc>
          <w:tcPr>
            <w:tcW w:w="6010" w:type="dxa"/>
            <w:shd w:val="clear" w:color="auto" w:fill="auto"/>
            <w:tcMar>
              <w:top w:w="0" w:type="dxa"/>
              <w:left w:w="105" w:type="dxa"/>
              <w:bottom w:w="0" w:type="dxa"/>
              <w:right w:w="105" w:type="dxa"/>
            </w:tcMar>
            <w:vAlign w:val="center"/>
          </w:tcPr>
          <w:p w14:paraId="1E917CE6">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      使用法定部门制发的罚款、没收财物单据进行罚款、没收财物等处罚。 </w:t>
            </w:r>
          </w:p>
        </w:tc>
      </w:tr>
      <w:tr w14:paraId="60DE3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0" w:hRule="atLeast"/>
          <w:tblCellSpacing w:w="0" w:type="dxa"/>
        </w:trPr>
        <w:tc>
          <w:tcPr>
            <w:tcW w:w="798" w:type="dxa"/>
            <w:shd w:val="clear" w:color="auto" w:fill="auto"/>
            <w:tcMar>
              <w:top w:w="0" w:type="dxa"/>
              <w:left w:w="105" w:type="dxa"/>
              <w:bottom w:w="0" w:type="dxa"/>
              <w:right w:w="105" w:type="dxa"/>
            </w:tcMar>
            <w:vAlign w:val="center"/>
          </w:tcPr>
          <w:p w14:paraId="36FA2531">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18 </w:t>
            </w:r>
          </w:p>
        </w:tc>
        <w:tc>
          <w:tcPr>
            <w:tcW w:w="1798" w:type="dxa"/>
            <w:vMerge w:val="continue"/>
            <w:vAlign w:val="center"/>
          </w:tcPr>
          <w:p w14:paraId="0D41BF61">
            <w:pPr>
              <w:widowControl/>
              <w:jc w:val="left"/>
              <w:rPr>
                <w:rFonts w:ascii="宋体" w:hAnsi="宋体" w:eastAsia="宋体" w:cs="宋体"/>
                <w:kern w:val="0"/>
                <w:sz w:val="24"/>
                <w:szCs w:val="24"/>
              </w:rPr>
            </w:pPr>
          </w:p>
        </w:tc>
        <w:tc>
          <w:tcPr>
            <w:tcW w:w="6010" w:type="dxa"/>
            <w:shd w:val="clear" w:color="auto" w:fill="auto"/>
            <w:tcMar>
              <w:top w:w="0" w:type="dxa"/>
              <w:left w:w="105" w:type="dxa"/>
              <w:bottom w:w="0" w:type="dxa"/>
              <w:right w:w="105" w:type="dxa"/>
            </w:tcMar>
            <w:vAlign w:val="center"/>
          </w:tcPr>
          <w:p w14:paraId="709A0AAF">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      对当事人的同一个违法行为,不得给予两次以上罚款的行政处罚。 </w:t>
            </w:r>
          </w:p>
        </w:tc>
      </w:tr>
      <w:tr w14:paraId="11927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blCellSpacing w:w="0" w:type="dxa"/>
        </w:trPr>
        <w:tc>
          <w:tcPr>
            <w:tcW w:w="798" w:type="dxa"/>
            <w:shd w:val="clear" w:color="auto" w:fill="auto"/>
            <w:tcMar>
              <w:top w:w="0" w:type="dxa"/>
              <w:left w:w="105" w:type="dxa"/>
              <w:bottom w:w="0" w:type="dxa"/>
              <w:right w:w="105" w:type="dxa"/>
            </w:tcMar>
            <w:vAlign w:val="center"/>
          </w:tcPr>
          <w:p w14:paraId="28929FC8">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19 </w:t>
            </w:r>
          </w:p>
        </w:tc>
        <w:tc>
          <w:tcPr>
            <w:tcW w:w="1798" w:type="dxa"/>
            <w:vMerge w:val="continue"/>
            <w:vAlign w:val="center"/>
          </w:tcPr>
          <w:p w14:paraId="03A8A9D2">
            <w:pPr>
              <w:widowControl/>
              <w:jc w:val="left"/>
              <w:rPr>
                <w:rFonts w:ascii="宋体" w:hAnsi="宋体" w:eastAsia="宋体" w:cs="宋体"/>
                <w:kern w:val="0"/>
                <w:sz w:val="24"/>
                <w:szCs w:val="24"/>
              </w:rPr>
            </w:pPr>
          </w:p>
        </w:tc>
        <w:tc>
          <w:tcPr>
            <w:tcW w:w="6010" w:type="dxa"/>
            <w:shd w:val="clear" w:color="auto" w:fill="auto"/>
            <w:tcMar>
              <w:top w:w="0" w:type="dxa"/>
              <w:left w:w="105" w:type="dxa"/>
              <w:bottom w:w="0" w:type="dxa"/>
              <w:right w:w="105" w:type="dxa"/>
            </w:tcMar>
            <w:vAlign w:val="center"/>
          </w:tcPr>
          <w:p w14:paraId="02092D9D">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      实施行政处罚时,应当责令当事人改正或者限期改正违法行为。 </w:t>
            </w:r>
          </w:p>
        </w:tc>
      </w:tr>
      <w:tr w14:paraId="7C7C2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90" w:hRule="atLeast"/>
          <w:tblCellSpacing w:w="0" w:type="dxa"/>
        </w:trPr>
        <w:tc>
          <w:tcPr>
            <w:tcW w:w="8606" w:type="dxa"/>
            <w:gridSpan w:val="3"/>
            <w:shd w:val="clear" w:color="auto" w:fill="auto"/>
            <w:tcMar>
              <w:top w:w="0" w:type="dxa"/>
              <w:left w:w="105" w:type="dxa"/>
              <w:bottom w:w="0" w:type="dxa"/>
              <w:right w:w="105" w:type="dxa"/>
            </w:tcMar>
            <w:vAlign w:val="center"/>
          </w:tcPr>
          <w:p w14:paraId="71A55C8B">
            <w:pPr>
              <w:widowControl/>
              <w:spacing w:before="100" w:beforeAutospacing="1" w:after="100" w:afterAutospacing="1"/>
              <w:jc w:val="center"/>
              <w:rPr>
                <w:rFonts w:hint="eastAsia" w:ascii="宋体" w:hAnsi="宋体" w:eastAsia="宋体" w:cs="宋体"/>
                <w:kern w:val="0"/>
                <w:sz w:val="24"/>
                <w:szCs w:val="24"/>
              </w:rPr>
            </w:pPr>
            <w:r>
              <w:rPr>
                <w:rFonts w:hint="eastAsia" w:ascii="宋体" w:hAnsi="宋体" w:eastAsia="宋体" w:cs="宋体"/>
                <w:b/>
                <w:bCs/>
                <w:kern w:val="0"/>
                <w:sz w:val="24"/>
                <w:szCs w:val="24"/>
                <w:lang w:eastAsia="zh-CN"/>
              </w:rPr>
              <w:t>二</w:t>
            </w:r>
            <w:r>
              <w:rPr>
                <w:rFonts w:hint="eastAsia" w:ascii="宋体" w:hAnsi="宋体" w:eastAsia="宋体" w:cs="宋体"/>
                <w:b/>
                <w:bCs/>
                <w:kern w:val="0"/>
                <w:sz w:val="24"/>
                <w:szCs w:val="24"/>
              </w:rPr>
              <w:t>、行政强制类(行政强制措施)行政职权运行通用责任清单</w:t>
            </w:r>
            <w:r>
              <w:rPr>
                <w:rFonts w:hint="eastAsia" w:ascii="宋体" w:hAnsi="宋体" w:eastAsia="宋体" w:cs="宋体"/>
                <w:kern w:val="0"/>
                <w:sz w:val="24"/>
                <w:szCs w:val="24"/>
              </w:rPr>
              <w:t xml:space="preserve"> </w:t>
            </w:r>
          </w:p>
        </w:tc>
      </w:tr>
      <w:tr w14:paraId="75EB8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0" w:hRule="atLeast"/>
          <w:tblCellSpacing w:w="0" w:type="dxa"/>
        </w:trPr>
        <w:tc>
          <w:tcPr>
            <w:tcW w:w="798" w:type="dxa"/>
            <w:shd w:val="clear" w:color="auto" w:fill="auto"/>
            <w:tcMar>
              <w:top w:w="0" w:type="dxa"/>
              <w:left w:w="105" w:type="dxa"/>
              <w:bottom w:w="0" w:type="dxa"/>
              <w:right w:w="105" w:type="dxa"/>
            </w:tcMar>
            <w:vAlign w:val="center"/>
          </w:tcPr>
          <w:p w14:paraId="08CB49D4">
            <w:pPr>
              <w:widowControl/>
              <w:spacing w:before="100" w:beforeAutospacing="1" w:after="100" w:afterAutospacing="1"/>
              <w:jc w:val="center"/>
              <w:rPr>
                <w:rFonts w:hint="eastAsia" w:ascii="宋体" w:hAnsi="宋体" w:eastAsia="宋体" w:cs="宋体"/>
                <w:kern w:val="0"/>
                <w:sz w:val="24"/>
                <w:szCs w:val="24"/>
              </w:rPr>
            </w:pPr>
            <w:r>
              <w:rPr>
                <w:rFonts w:hint="eastAsia" w:ascii="宋体" w:hAnsi="宋体" w:eastAsia="宋体" w:cs="宋体"/>
                <w:b/>
                <w:bCs/>
                <w:kern w:val="0"/>
                <w:sz w:val="24"/>
                <w:szCs w:val="24"/>
              </w:rPr>
              <w:t>序号</w:t>
            </w:r>
            <w:r>
              <w:rPr>
                <w:rFonts w:hint="eastAsia" w:ascii="宋体" w:hAnsi="宋体" w:eastAsia="宋体" w:cs="宋体"/>
                <w:kern w:val="0"/>
                <w:sz w:val="24"/>
                <w:szCs w:val="24"/>
              </w:rPr>
              <w:t xml:space="preserve"> </w:t>
            </w:r>
          </w:p>
        </w:tc>
        <w:tc>
          <w:tcPr>
            <w:tcW w:w="1798" w:type="dxa"/>
            <w:shd w:val="clear" w:color="auto" w:fill="auto"/>
            <w:tcMar>
              <w:top w:w="0" w:type="dxa"/>
              <w:left w:w="105" w:type="dxa"/>
              <w:bottom w:w="0" w:type="dxa"/>
              <w:right w:w="105" w:type="dxa"/>
            </w:tcMar>
            <w:vAlign w:val="center"/>
          </w:tcPr>
          <w:p w14:paraId="51EAF7DB">
            <w:pPr>
              <w:widowControl/>
              <w:spacing w:before="100" w:beforeAutospacing="1" w:after="100" w:afterAutospacing="1"/>
              <w:jc w:val="center"/>
              <w:rPr>
                <w:rFonts w:hint="eastAsia" w:ascii="宋体" w:hAnsi="宋体" w:eastAsia="宋体" w:cs="宋体"/>
                <w:kern w:val="0"/>
                <w:sz w:val="24"/>
                <w:szCs w:val="24"/>
              </w:rPr>
            </w:pPr>
            <w:r>
              <w:rPr>
                <w:rFonts w:hint="eastAsia" w:ascii="宋体" w:hAnsi="宋体" w:eastAsia="宋体" w:cs="宋体"/>
                <w:b/>
                <w:bCs/>
                <w:kern w:val="0"/>
                <w:sz w:val="24"/>
                <w:szCs w:val="24"/>
              </w:rPr>
              <w:t>运行环节</w:t>
            </w:r>
            <w:r>
              <w:rPr>
                <w:rFonts w:hint="eastAsia" w:ascii="宋体" w:hAnsi="宋体" w:eastAsia="宋体" w:cs="宋体"/>
                <w:kern w:val="0"/>
                <w:sz w:val="24"/>
                <w:szCs w:val="24"/>
              </w:rPr>
              <w:t xml:space="preserve"> </w:t>
            </w:r>
          </w:p>
        </w:tc>
        <w:tc>
          <w:tcPr>
            <w:tcW w:w="6010" w:type="dxa"/>
            <w:shd w:val="clear" w:color="auto" w:fill="auto"/>
            <w:tcMar>
              <w:top w:w="0" w:type="dxa"/>
              <w:left w:w="105" w:type="dxa"/>
              <w:bottom w:w="0" w:type="dxa"/>
              <w:right w:w="105" w:type="dxa"/>
            </w:tcMar>
            <w:vAlign w:val="center"/>
          </w:tcPr>
          <w:p w14:paraId="06EFBC50">
            <w:pPr>
              <w:widowControl/>
              <w:spacing w:before="100" w:beforeAutospacing="1" w:after="100" w:afterAutospacing="1"/>
              <w:jc w:val="center"/>
              <w:rPr>
                <w:rFonts w:hint="eastAsia" w:ascii="宋体" w:hAnsi="宋体" w:eastAsia="宋体" w:cs="宋体"/>
                <w:kern w:val="0"/>
                <w:sz w:val="24"/>
                <w:szCs w:val="24"/>
              </w:rPr>
            </w:pPr>
            <w:r>
              <w:rPr>
                <w:rFonts w:hint="eastAsia" w:ascii="宋体" w:hAnsi="宋体" w:eastAsia="宋体" w:cs="宋体"/>
                <w:b/>
                <w:bCs/>
                <w:kern w:val="0"/>
                <w:sz w:val="24"/>
                <w:szCs w:val="24"/>
              </w:rPr>
              <w:t>责任事项</w:t>
            </w:r>
            <w:r>
              <w:rPr>
                <w:rFonts w:hint="eastAsia" w:ascii="宋体" w:hAnsi="宋体" w:eastAsia="宋体" w:cs="宋体"/>
                <w:kern w:val="0"/>
                <w:sz w:val="24"/>
                <w:szCs w:val="24"/>
              </w:rPr>
              <w:t xml:space="preserve"> </w:t>
            </w:r>
          </w:p>
        </w:tc>
      </w:tr>
      <w:tr w14:paraId="24D52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5" w:hRule="atLeast"/>
          <w:tblCellSpacing w:w="0" w:type="dxa"/>
        </w:trPr>
        <w:tc>
          <w:tcPr>
            <w:tcW w:w="798" w:type="dxa"/>
            <w:shd w:val="clear" w:color="auto" w:fill="auto"/>
            <w:tcMar>
              <w:top w:w="0" w:type="dxa"/>
              <w:left w:w="105" w:type="dxa"/>
              <w:bottom w:w="0" w:type="dxa"/>
              <w:right w:w="105" w:type="dxa"/>
            </w:tcMar>
            <w:vAlign w:val="center"/>
          </w:tcPr>
          <w:p w14:paraId="545E77F6">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1 </w:t>
            </w:r>
          </w:p>
        </w:tc>
        <w:tc>
          <w:tcPr>
            <w:tcW w:w="1798" w:type="dxa"/>
            <w:vMerge w:val="restart"/>
            <w:shd w:val="clear" w:color="auto" w:fill="auto"/>
            <w:tcMar>
              <w:top w:w="0" w:type="dxa"/>
              <w:left w:w="105" w:type="dxa"/>
              <w:bottom w:w="0" w:type="dxa"/>
              <w:right w:w="105" w:type="dxa"/>
            </w:tcMar>
            <w:vAlign w:val="center"/>
          </w:tcPr>
          <w:p w14:paraId="0178B3AC">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b/>
                <w:bCs/>
                <w:kern w:val="0"/>
                <w:sz w:val="24"/>
                <w:szCs w:val="24"/>
              </w:rPr>
              <w:t>(一)决定</w:t>
            </w:r>
            <w:r>
              <w:rPr>
                <w:rFonts w:hint="eastAsia" w:ascii="宋体" w:hAnsi="宋体" w:eastAsia="宋体" w:cs="宋体"/>
                <w:kern w:val="0"/>
                <w:sz w:val="24"/>
                <w:szCs w:val="24"/>
              </w:rPr>
              <w:t xml:space="preserve"> </w:t>
            </w:r>
          </w:p>
        </w:tc>
        <w:tc>
          <w:tcPr>
            <w:tcW w:w="6010" w:type="dxa"/>
            <w:shd w:val="clear" w:color="auto" w:fill="auto"/>
            <w:tcMar>
              <w:top w:w="0" w:type="dxa"/>
              <w:left w:w="105" w:type="dxa"/>
              <w:bottom w:w="0" w:type="dxa"/>
              <w:right w:w="105" w:type="dxa"/>
            </w:tcMar>
            <w:vAlign w:val="center"/>
          </w:tcPr>
          <w:p w14:paraId="68E9A500">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      实施前应当先报告,经批准后作出实施行政强制措施的决定。 </w:t>
            </w:r>
          </w:p>
        </w:tc>
      </w:tr>
      <w:tr w14:paraId="6EB74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5" w:hRule="atLeast"/>
          <w:tblCellSpacing w:w="0" w:type="dxa"/>
        </w:trPr>
        <w:tc>
          <w:tcPr>
            <w:tcW w:w="798" w:type="dxa"/>
            <w:shd w:val="clear" w:color="auto" w:fill="auto"/>
            <w:tcMar>
              <w:top w:w="0" w:type="dxa"/>
              <w:left w:w="105" w:type="dxa"/>
              <w:bottom w:w="0" w:type="dxa"/>
              <w:right w:w="105" w:type="dxa"/>
            </w:tcMar>
            <w:vAlign w:val="center"/>
          </w:tcPr>
          <w:p w14:paraId="7A404BE4">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2 </w:t>
            </w:r>
          </w:p>
        </w:tc>
        <w:tc>
          <w:tcPr>
            <w:tcW w:w="1798" w:type="dxa"/>
            <w:vMerge w:val="continue"/>
            <w:vAlign w:val="center"/>
          </w:tcPr>
          <w:p w14:paraId="7AE853D2">
            <w:pPr>
              <w:widowControl/>
              <w:jc w:val="left"/>
              <w:rPr>
                <w:rFonts w:ascii="宋体" w:hAnsi="宋体" w:eastAsia="宋体" w:cs="宋体"/>
                <w:kern w:val="0"/>
                <w:sz w:val="24"/>
                <w:szCs w:val="24"/>
              </w:rPr>
            </w:pPr>
          </w:p>
        </w:tc>
        <w:tc>
          <w:tcPr>
            <w:tcW w:w="6010" w:type="dxa"/>
            <w:shd w:val="clear" w:color="auto" w:fill="auto"/>
            <w:tcMar>
              <w:top w:w="0" w:type="dxa"/>
              <w:left w:w="105" w:type="dxa"/>
              <w:bottom w:w="0" w:type="dxa"/>
              <w:right w:w="105" w:type="dxa"/>
            </w:tcMar>
            <w:vAlign w:val="center"/>
          </w:tcPr>
          <w:p w14:paraId="099EA7B3">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      批准实施行政强制措施应当符合法定条件。 </w:t>
            </w:r>
          </w:p>
        </w:tc>
      </w:tr>
      <w:tr w14:paraId="57325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5" w:hRule="atLeast"/>
          <w:tblCellSpacing w:w="0" w:type="dxa"/>
        </w:trPr>
        <w:tc>
          <w:tcPr>
            <w:tcW w:w="798" w:type="dxa"/>
            <w:shd w:val="clear" w:color="auto" w:fill="auto"/>
            <w:tcMar>
              <w:top w:w="0" w:type="dxa"/>
              <w:left w:w="105" w:type="dxa"/>
              <w:bottom w:w="0" w:type="dxa"/>
              <w:right w:w="105" w:type="dxa"/>
            </w:tcMar>
            <w:vAlign w:val="center"/>
          </w:tcPr>
          <w:p w14:paraId="4B31B7C3">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3 </w:t>
            </w:r>
          </w:p>
        </w:tc>
        <w:tc>
          <w:tcPr>
            <w:tcW w:w="1798" w:type="dxa"/>
            <w:vMerge w:val="restart"/>
            <w:shd w:val="clear" w:color="auto" w:fill="auto"/>
            <w:tcMar>
              <w:top w:w="0" w:type="dxa"/>
              <w:left w:w="105" w:type="dxa"/>
              <w:bottom w:w="0" w:type="dxa"/>
              <w:right w:w="105" w:type="dxa"/>
            </w:tcMar>
            <w:vAlign w:val="center"/>
          </w:tcPr>
          <w:p w14:paraId="73103F60">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b/>
                <w:bCs/>
                <w:kern w:val="0"/>
                <w:sz w:val="24"/>
                <w:szCs w:val="24"/>
              </w:rPr>
              <w:t>(二)执行</w:t>
            </w:r>
            <w:r>
              <w:rPr>
                <w:rFonts w:hint="eastAsia" w:ascii="宋体" w:hAnsi="宋体" w:eastAsia="宋体" w:cs="宋体"/>
                <w:kern w:val="0"/>
                <w:sz w:val="24"/>
                <w:szCs w:val="24"/>
              </w:rPr>
              <w:t xml:space="preserve"> </w:t>
            </w:r>
          </w:p>
        </w:tc>
        <w:tc>
          <w:tcPr>
            <w:tcW w:w="6010" w:type="dxa"/>
            <w:shd w:val="clear" w:color="auto" w:fill="auto"/>
            <w:tcMar>
              <w:top w:w="0" w:type="dxa"/>
              <w:left w:w="105" w:type="dxa"/>
              <w:bottom w:w="0" w:type="dxa"/>
              <w:right w:w="105" w:type="dxa"/>
            </w:tcMar>
            <w:vAlign w:val="center"/>
          </w:tcPr>
          <w:p w14:paraId="533BDDC7">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color w:val="000000"/>
                <w:kern w:val="0"/>
                <w:sz w:val="24"/>
                <w:szCs w:val="24"/>
              </w:rPr>
              <w:t>      由2名以上具备资格的行政执法人员实施,其他人员不得实施。</w:t>
            </w:r>
            <w:r>
              <w:rPr>
                <w:rFonts w:hint="eastAsia" w:ascii="宋体" w:hAnsi="宋体" w:eastAsia="宋体" w:cs="宋体"/>
                <w:kern w:val="0"/>
                <w:sz w:val="24"/>
                <w:szCs w:val="24"/>
              </w:rPr>
              <w:t xml:space="preserve"> </w:t>
            </w:r>
          </w:p>
        </w:tc>
      </w:tr>
      <w:tr w14:paraId="71586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5" w:hRule="atLeast"/>
          <w:tblCellSpacing w:w="0" w:type="dxa"/>
        </w:trPr>
        <w:tc>
          <w:tcPr>
            <w:tcW w:w="798" w:type="dxa"/>
            <w:shd w:val="clear" w:color="auto" w:fill="auto"/>
            <w:tcMar>
              <w:top w:w="0" w:type="dxa"/>
              <w:left w:w="105" w:type="dxa"/>
              <w:bottom w:w="0" w:type="dxa"/>
              <w:right w:w="105" w:type="dxa"/>
            </w:tcMar>
            <w:vAlign w:val="center"/>
          </w:tcPr>
          <w:p w14:paraId="4FE91CFC">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4 </w:t>
            </w:r>
          </w:p>
        </w:tc>
        <w:tc>
          <w:tcPr>
            <w:tcW w:w="1798" w:type="dxa"/>
            <w:vMerge w:val="continue"/>
            <w:vAlign w:val="center"/>
          </w:tcPr>
          <w:p w14:paraId="38BC5054">
            <w:pPr>
              <w:widowControl/>
              <w:jc w:val="left"/>
              <w:rPr>
                <w:rFonts w:ascii="宋体" w:hAnsi="宋体" w:eastAsia="宋体" w:cs="宋体"/>
                <w:kern w:val="0"/>
                <w:sz w:val="24"/>
                <w:szCs w:val="24"/>
              </w:rPr>
            </w:pPr>
          </w:p>
        </w:tc>
        <w:tc>
          <w:tcPr>
            <w:tcW w:w="6010" w:type="dxa"/>
            <w:shd w:val="clear" w:color="auto" w:fill="auto"/>
            <w:tcMar>
              <w:top w:w="0" w:type="dxa"/>
              <w:left w:w="105" w:type="dxa"/>
              <w:bottom w:w="0" w:type="dxa"/>
              <w:right w:w="105" w:type="dxa"/>
            </w:tcMar>
            <w:vAlign w:val="center"/>
          </w:tcPr>
          <w:p w14:paraId="626F79AC">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      行政执法人员应当现场出示执法身份证件。 </w:t>
            </w:r>
          </w:p>
        </w:tc>
      </w:tr>
      <w:tr w14:paraId="5DEBE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05" w:hRule="atLeast"/>
          <w:tblCellSpacing w:w="0" w:type="dxa"/>
        </w:trPr>
        <w:tc>
          <w:tcPr>
            <w:tcW w:w="798" w:type="dxa"/>
            <w:shd w:val="clear" w:color="auto" w:fill="auto"/>
            <w:tcMar>
              <w:top w:w="0" w:type="dxa"/>
              <w:left w:w="105" w:type="dxa"/>
              <w:bottom w:w="0" w:type="dxa"/>
              <w:right w:w="105" w:type="dxa"/>
            </w:tcMar>
            <w:vAlign w:val="center"/>
          </w:tcPr>
          <w:p w14:paraId="0AC2B3FB">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5 </w:t>
            </w:r>
          </w:p>
        </w:tc>
        <w:tc>
          <w:tcPr>
            <w:tcW w:w="1798" w:type="dxa"/>
            <w:vMerge w:val="continue"/>
            <w:vAlign w:val="center"/>
          </w:tcPr>
          <w:p w14:paraId="3FFF475C">
            <w:pPr>
              <w:widowControl/>
              <w:jc w:val="left"/>
              <w:rPr>
                <w:rFonts w:ascii="宋体" w:hAnsi="宋体" w:eastAsia="宋体" w:cs="宋体"/>
                <w:kern w:val="0"/>
                <w:sz w:val="24"/>
                <w:szCs w:val="24"/>
              </w:rPr>
            </w:pPr>
          </w:p>
        </w:tc>
        <w:tc>
          <w:tcPr>
            <w:tcW w:w="6010" w:type="dxa"/>
            <w:shd w:val="clear" w:color="auto" w:fill="auto"/>
            <w:tcMar>
              <w:top w:w="0" w:type="dxa"/>
              <w:left w:w="105" w:type="dxa"/>
              <w:bottom w:w="0" w:type="dxa"/>
              <w:right w:w="105" w:type="dxa"/>
            </w:tcMar>
            <w:vAlign w:val="center"/>
          </w:tcPr>
          <w:p w14:paraId="6BAA3755">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      实施行政强制措施时应当通知当事人到场,并告知当事人采取行政强制措施的理由、依据以及当事人依法享有的权利、救济途径。 </w:t>
            </w:r>
          </w:p>
        </w:tc>
      </w:tr>
      <w:tr w14:paraId="2746F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80" w:hRule="atLeast"/>
          <w:tblCellSpacing w:w="0" w:type="dxa"/>
        </w:trPr>
        <w:tc>
          <w:tcPr>
            <w:tcW w:w="798" w:type="dxa"/>
            <w:shd w:val="clear" w:color="auto" w:fill="auto"/>
            <w:tcMar>
              <w:top w:w="0" w:type="dxa"/>
              <w:left w:w="105" w:type="dxa"/>
              <w:bottom w:w="0" w:type="dxa"/>
              <w:right w:w="105" w:type="dxa"/>
            </w:tcMar>
            <w:vAlign w:val="center"/>
          </w:tcPr>
          <w:p w14:paraId="4F3B4B77">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6 </w:t>
            </w:r>
          </w:p>
        </w:tc>
        <w:tc>
          <w:tcPr>
            <w:tcW w:w="1798" w:type="dxa"/>
            <w:vMerge w:val="continue"/>
            <w:vAlign w:val="center"/>
          </w:tcPr>
          <w:p w14:paraId="0AECB844">
            <w:pPr>
              <w:widowControl/>
              <w:jc w:val="left"/>
              <w:rPr>
                <w:rFonts w:ascii="宋体" w:hAnsi="宋体" w:eastAsia="宋体" w:cs="宋体"/>
                <w:kern w:val="0"/>
                <w:sz w:val="24"/>
                <w:szCs w:val="24"/>
              </w:rPr>
            </w:pPr>
          </w:p>
        </w:tc>
        <w:tc>
          <w:tcPr>
            <w:tcW w:w="6010" w:type="dxa"/>
            <w:shd w:val="clear" w:color="auto" w:fill="auto"/>
            <w:tcMar>
              <w:top w:w="0" w:type="dxa"/>
              <w:left w:w="105" w:type="dxa"/>
              <w:bottom w:w="0" w:type="dxa"/>
              <w:right w:w="105" w:type="dxa"/>
            </w:tcMar>
            <w:vAlign w:val="center"/>
          </w:tcPr>
          <w:p w14:paraId="7236F7A2">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      充分听取当事人的意见,对当事人提出的事实、理由和证据,应当进行复核,当事人提出的事实、理由或者证据成立的,应当采纳。 </w:t>
            </w:r>
          </w:p>
        </w:tc>
      </w:tr>
      <w:tr w14:paraId="144AD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10" w:hRule="atLeast"/>
          <w:tblCellSpacing w:w="0" w:type="dxa"/>
        </w:trPr>
        <w:tc>
          <w:tcPr>
            <w:tcW w:w="798" w:type="dxa"/>
            <w:shd w:val="clear" w:color="auto" w:fill="auto"/>
            <w:tcMar>
              <w:top w:w="0" w:type="dxa"/>
              <w:left w:w="105" w:type="dxa"/>
              <w:bottom w:w="0" w:type="dxa"/>
              <w:right w:w="105" w:type="dxa"/>
            </w:tcMar>
            <w:vAlign w:val="center"/>
          </w:tcPr>
          <w:p w14:paraId="083CA9D0">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7 </w:t>
            </w:r>
          </w:p>
        </w:tc>
        <w:tc>
          <w:tcPr>
            <w:tcW w:w="1798" w:type="dxa"/>
            <w:vMerge w:val="continue"/>
            <w:vAlign w:val="center"/>
          </w:tcPr>
          <w:p w14:paraId="18B1D636">
            <w:pPr>
              <w:widowControl/>
              <w:jc w:val="left"/>
              <w:rPr>
                <w:rFonts w:ascii="宋体" w:hAnsi="宋体" w:eastAsia="宋体" w:cs="宋体"/>
                <w:kern w:val="0"/>
                <w:sz w:val="24"/>
                <w:szCs w:val="24"/>
              </w:rPr>
            </w:pPr>
          </w:p>
        </w:tc>
        <w:tc>
          <w:tcPr>
            <w:tcW w:w="6010" w:type="dxa"/>
            <w:shd w:val="clear" w:color="auto" w:fill="auto"/>
            <w:tcMar>
              <w:top w:w="0" w:type="dxa"/>
              <w:left w:w="105" w:type="dxa"/>
              <w:bottom w:w="0" w:type="dxa"/>
              <w:right w:w="105" w:type="dxa"/>
            </w:tcMar>
            <w:vAlign w:val="center"/>
          </w:tcPr>
          <w:p w14:paraId="70782F73">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      制作现场笔录,现场笔录由当事人和行政执法人员签名或者盖章,当事人拒绝的,在笔录中予以注明。当事人不到场的,邀请见证人到场,由见证人和行政执法人员在现场笔录上签名或者盖章。 </w:t>
            </w:r>
          </w:p>
        </w:tc>
      </w:tr>
      <w:tr w14:paraId="72736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65" w:hRule="atLeast"/>
          <w:tblCellSpacing w:w="0" w:type="dxa"/>
        </w:trPr>
        <w:tc>
          <w:tcPr>
            <w:tcW w:w="798" w:type="dxa"/>
            <w:shd w:val="clear" w:color="auto" w:fill="auto"/>
            <w:tcMar>
              <w:top w:w="0" w:type="dxa"/>
              <w:left w:w="105" w:type="dxa"/>
              <w:bottom w:w="0" w:type="dxa"/>
              <w:right w:w="105" w:type="dxa"/>
            </w:tcMar>
            <w:vAlign w:val="center"/>
          </w:tcPr>
          <w:p w14:paraId="0DD284F3">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8 </w:t>
            </w:r>
          </w:p>
        </w:tc>
        <w:tc>
          <w:tcPr>
            <w:tcW w:w="1798" w:type="dxa"/>
            <w:vMerge w:val="continue"/>
            <w:vAlign w:val="center"/>
          </w:tcPr>
          <w:p w14:paraId="4F1764BC">
            <w:pPr>
              <w:widowControl/>
              <w:jc w:val="left"/>
              <w:rPr>
                <w:rFonts w:ascii="宋体" w:hAnsi="宋体" w:eastAsia="宋体" w:cs="宋体"/>
                <w:kern w:val="0"/>
                <w:sz w:val="24"/>
                <w:szCs w:val="24"/>
              </w:rPr>
            </w:pPr>
          </w:p>
        </w:tc>
        <w:tc>
          <w:tcPr>
            <w:tcW w:w="6010" w:type="dxa"/>
            <w:shd w:val="clear" w:color="auto" w:fill="auto"/>
            <w:tcMar>
              <w:top w:w="0" w:type="dxa"/>
              <w:left w:w="105" w:type="dxa"/>
              <w:bottom w:w="0" w:type="dxa"/>
              <w:right w:w="105" w:type="dxa"/>
            </w:tcMar>
            <w:vAlign w:val="center"/>
          </w:tcPr>
          <w:p w14:paraId="41F45307">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      实施限制公民人身自由的行政强制措施,应当场告知或者实施行政强制措施后立即通知当事人家属实施行政强制措施的行政机关、地点和期限。 </w:t>
            </w:r>
          </w:p>
        </w:tc>
      </w:tr>
      <w:tr w14:paraId="4DE98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5" w:hRule="atLeast"/>
          <w:tblCellSpacing w:w="0" w:type="dxa"/>
        </w:trPr>
        <w:tc>
          <w:tcPr>
            <w:tcW w:w="798" w:type="dxa"/>
            <w:shd w:val="clear" w:color="auto" w:fill="auto"/>
            <w:tcMar>
              <w:top w:w="0" w:type="dxa"/>
              <w:left w:w="105" w:type="dxa"/>
              <w:bottom w:w="0" w:type="dxa"/>
              <w:right w:w="105" w:type="dxa"/>
            </w:tcMar>
            <w:vAlign w:val="center"/>
          </w:tcPr>
          <w:p w14:paraId="0502CB31">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9 </w:t>
            </w:r>
          </w:p>
        </w:tc>
        <w:tc>
          <w:tcPr>
            <w:tcW w:w="1798" w:type="dxa"/>
            <w:vMerge w:val="continue"/>
            <w:vAlign w:val="center"/>
          </w:tcPr>
          <w:p w14:paraId="09D2D984">
            <w:pPr>
              <w:widowControl/>
              <w:jc w:val="left"/>
              <w:rPr>
                <w:rFonts w:ascii="宋体" w:hAnsi="宋体" w:eastAsia="宋体" w:cs="宋体"/>
                <w:kern w:val="0"/>
                <w:sz w:val="24"/>
                <w:szCs w:val="24"/>
              </w:rPr>
            </w:pPr>
          </w:p>
        </w:tc>
        <w:tc>
          <w:tcPr>
            <w:tcW w:w="6010" w:type="dxa"/>
            <w:shd w:val="clear" w:color="auto" w:fill="auto"/>
            <w:tcMar>
              <w:top w:w="0" w:type="dxa"/>
              <w:left w:w="105" w:type="dxa"/>
              <w:bottom w:w="0" w:type="dxa"/>
              <w:right w:w="105" w:type="dxa"/>
            </w:tcMar>
            <w:vAlign w:val="center"/>
          </w:tcPr>
          <w:p w14:paraId="27664D4B">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      对依法应当没收或法律、行政法规规定应当销毁的,应当依法予以没收或销毁。 </w:t>
            </w:r>
          </w:p>
        </w:tc>
      </w:tr>
      <w:tr w14:paraId="7EAFA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0" w:hRule="atLeast"/>
          <w:tblCellSpacing w:w="0" w:type="dxa"/>
        </w:trPr>
        <w:tc>
          <w:tcPr>
            <w:tcW w:w="798" w:type="dxa"/>
            <w:shd w:val="clear" w:color="auto" w:fill="auto"/>
            <w:tcMar>
              <w:top w:w="0" w:type="dxa"/>
              <w:left w:w="105" w:type="dxa"/>
              <w:bottom w:w="0" w:type="dxa"/>
              <w:right w:w="105" w:type="dxa"/>
            </w:tcMar>
            <w:vAlign w:val="center"/>
          </w:tcPr>
          <w:p w14:paraId="14509DDD">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10 </w:t>
            </w:r>
          </w:p>
        </w:tc>
        <w:tc>
          <w:tcPr>
            <w:tcW w:w="1798" w:type="dxa"/>
            <w:vMerge w:val="continue"/>
            <w:vAlign w:val="center"/>
          </w:tcPr>
          <w:p w14:paraId="250CEF98">
            <w:pPr>
              <w:widowControl/>
              <w:jc w:val="left"/>
              <w:rPr>
                <w:rFonts w:ascii="宋体" w:hAnsi="宋体" w:eastAsia="宋体" w:cs="宋体"/>
                <w:kern w:val="0"/>
                <w:sz w:val="24"/>
                <w:szCs w:val="24"/>
              </w:rPr>
            </w:pPr>
          </w:p>
        </w:tc>
        <w:tc>
          <w:tcPr>
            <w:tcW w:w="6010" w:type="dxa"/>
            <w:shd w:val="clear" w:color="auto" w:fill="auto"/>
            <w:tcMar>
              <w:top w:w="0" w:type="dxa"/>
              <w:left w:w="105" w:type="dxa"/>
              <w:bottom w:w="0" w:type="dxa"/>
              <w:right w:w="105" w:type="dxa"/>
            </w:tcMar>
            <w:vAlign w:val="center"/>
          </w:tcPr>
          <w:p w14:paraId="18DF58CD">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      情况紧急,需要当场实施行政强制措施的,行政执法人员应当在24小时内向行政机关负责人报告,并补办批准手续。 </w:t>
            </w:r>
          </w:p>
        </w:tc>
      </w:tr>
      <w:tr w14:paraId="6E822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5" w:hRule="atLeast"/>
          <w:tblCellSpacing w:w="0" w:type="dxa"/>
        </w:trPr>
        <w:tc>
          <w:tcPr>
            <w:tcW w:w="798" w:type="dxa"/>
            <w:shd w:val="clear" w:color="auto" w:fill="auto"/>
            <w:tcMar>
              <w:top w:w="0" w:type="dxa"/>
              <w:left w:w="105" w:type="dxa"/>
              <w:bottom w:w="0" w:type="dxa"/>
              <w:right w:w="105" w:type="dxa"/>
            </w:tcMar>
            <w:vAlign w:val="center"/>
          </w:tcPr>
          <w:p w14:paraId="1D648A3C">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11 </w:t>
            </w:r>
          </w:p>
        </w:tc>
        <w:tc>
          <w:tcPr>
            <w:tcW w:w="1798" w:type="dxa"/>
            <w:vMerge w:val="restart"/>
            <w:shd w:val="clear" w:color="auto" w:fill="auto"/>
            <w:tcMar>
              <w:top w:w="0" w:type="dxa"/>
              <w:left w:w="105" w:type="dxa"/>
              <w:bottom w:w="0" w:type="dxa"/>
              <w:right w:w="105" w:type="dxa"/>
            </w:tcMar>
            <w:vAlign w:val="center"/>
          </w:tcPr>
          <w:p w14:paraId="4D2D763D">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b/>
                <w:bCs/>
                <w:kern w:val="0"/>
                <w:sz w:val="24"/>
                <w:szCs w:val="24"/>
              </w:rPr>
              <w:t>(三)解除</w:t>
            </w:r>
            <w:r>
              <w:rPr>
                <w:rFonts w:hint="eastAsia" w:ascii="宋体" w:hAnsi="宋体" w:eastAsia="宋体" w:cs="宋体"/>
                <w:kern w:val="0"/>
                <w:sz w:val="24"/>
                <w:szCs w:val="24"/>
              </w:rPr>
              <w:t xml:space="preserve"> </w:t>
            </w:r>
          </w:p>
        </w:tc>
        <w:tc>
          <w:tcPr>
            <w:tcW w:w="6010" w:type="dxa"/>
            <w:shd w:val="clear" w:color="auto" w:fill="auto"/>
            <w:tcMar>
              <w:top w:w="0" w:type="dxa"/>
              <w:left w:w="105" w:type="dxa"/>
              <w:bottom w:w="0" w:type="dxa"/>
              <w:right w:w="105" w:type="dxa"/>
            </w:tcMar>
            <w:vAlign w:val="center"/>
          </w:tcPr>
          <w:p w14:paraId="4BCBEDE8">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      对符合解除行政强制措施条件的,应当依法解除行政强制措施。 </w:t>
            </w:r>
          </w:p>
        </w:tc>
      </w:tr>
      <w:tr w14:paraId="2A7DB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5" w:hRule="atLeast"/>
          <w:tblCellSpacing w:w="0" w:type="dxa"/>
        </w:trPr>
        <w:tc>
          <w:tcPr>
            <w:tcW w:w="798" w:type="dxa"/>
            <w:shd w:val="clear" w:color="auto" w:fill="auto"/>
            <w:tcMar>
              <w:top w:w="0" w:type="dxa"/>
              <w:left w:w="105" w:type="dxa"/>
              <w:bottom w:w="0" w:type="dxa"/>
              <w:right w:w="105" w:type="dxa"/>
            </w:tcMar>
            <w:vAlign w:val="center"/>
          </w:tcPr>
          <w:p w14:paraId="239EB42C">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12 </w:t>
            </w:r>
          </w:p>
        </w:tc>
        <w:tc>
          <w:tcPr>
            <w:tcW w:w="1798" w:type="dxa"/>
            <w:vMerge w:val="continue"/>
            <w:vAlign w:val="center"/>
          </w:tcPr>
          <w:p w14:paraId="6EAF355E">
            <w:pPr>
              <w:widowControl/>
              <w:jc w:val="left"/>
              <w:rPr>
                <w:rFonts w:ascii="宋体" w:hAnsi="宋体" w:eastAsia="宋体" w:cs="宋体"/>
                <w:kern w:val="0"/>
                <w:sz w:val="24"/>
                <w:szCs w:val="24"/>
              </w:rPr>
            </w:pPr>
          </w:p>
        </w:tc>
        <w:tc>
          <w:tcPr>
            <w:tcW w:w="6010" w:type="dxa"/>
            <w:shd w:val="clear" w:color="auto" w:fill="auto"/>
            <w:tcMar>
              <w:top w:w="0" w:type="dxa"/>
              <w:left w:w="105" w:type="dxa"/>
              <w:bottom w:w="0" w:type="dxa"/>
              <w:right w:w="105" w:type="dxa"/>
            </w:tcMar>
            <w:vAlign w:val="center"/>
          </w:tcPr>
          <w:p w14:paraId="027D543F">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      对构成犯罪的,依法、及时移送司法机关。 </w:t>
            </w:r>
          </w:p>
        </w:tc>
      </w:tr>
      <w:tr w14:paraId="09559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5" w:hRule="atLeast"/>
          <w:tblCellSpacing w:w="0" w:type="dxa"/>
        </w:trPr>
        <w:tc>
          <w:tcPr>
            <w:tcW w:w="798" w:type="dxa"/>
            <w:shd w:val="clear" w:color="auto" w:fill="auto"/>
            <w:tcMar>
              <w:top w:w="0" w:type="dxa"/>
              <w:left w:w="105" w:type="dxa"/>
              <w:bottom w:w="0" w:type="dxa"/>
              <w:right w:w="105" w:type="dxa"/>
            </w:tcMar>
            <w:vAlign w:val="center"/>
          </w:tcPr>
          <w:p w14:paraId="14E2ABCE">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13 </w:t>
            </w:r>
          </w:p>
        </w:tc>
        <w:tc>
          <w:tcPr>
            <w:tcW w:w="1798" w:type="dxa"/>
            <w:shd w:val="clear" w:color="auto" w:fill="auto"/>
            <w:tcMar>
              <w:top w:w="0" w:type="dxa"/>
              <w:left w:w="105" w:type="dxa"/>
              <w:bottom w:w="0" w:type="dxa"/>
              <w:right w:w="105" w:type="dxa"/>
            </w:tcMar>
            <w:vAlign w:val="center"/>
          </w:tcPr>
          <w:p w14:paraId="451CDFB9">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b/>
                <w:bCs/>
                <w:kern w:val="0"/>
                <w:sz w:val="24"/>
                <w:szCs w:val="24"/>
              </w:rPr>
              <w:t>(四)事后监管</w:t>
            </w:r>
            <w:r>
              <w:rPr>
                <w:rFonts w:hint="eastAsia" w:ascii="宋体" w:hAnsi="宋体" w:eastAsia="宋体" w:cs="宋体"/>
                <w:kern w:val="0"/>
                <w:sz w:val="24"/>
                <w:szCs w:val="24"/>
              </w:rPr>
              <w:t xml:space="preserve"> </w:t>
            </w:r>
          </w:p>
        </w:tc>
        <w:tc>
          <w:tcPr>
            <w:tcW w:w="6010" w:type="dxa"/>
            <w:shd w:val="clear" w:color="auto" w:fill="auto"/>
            <w:tcMar>
              <w:top w:w="0" w:type="dxa"/>
              <w:left w:w="105" w:type="dxa"/>
              <w:bottom w:w="0" w:type="dxa"/>
              <w:right w:w="105" w:type="dxa"/>
            </w:tcMar>
            <w:vAlign w:val="center"/>
          </w:tcPr>
          <w:p w14:paraId="2D0D2CC0">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      建立健全事后监管制度,依法履行监督责任。 </w:t>
            </w:r>
          </w:p>
        </w:tc>
      </w:tr>
      <w:tr w14:paraId="51041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60" w:hRule="atLeast"/>
          <w:tblCellSpacing w:w="0" w:type="dxa"/>
        </w:trPr>
        <w:tc>
          <w:tcPr>
            <w:tcW w:w="8606" w:type="dxa"/>
            <w:gridSpan w:val="3"/>
            <w:shd w:val="clear" w:color="auto" w:fill="auto"/>
            <w:tcMar>
              <w:top w:w="0" w:type="dxa"/>
              <w:left w:w="105" w:type="dxa"/>
              <w:bottom w:w="0" w:type="dxa"/>
              <w:right w:w="105" w:type="dxa"/>
            </w:tcMar>
            <w:vAlign w:val="center"/>
          </w:tcPr>
          <w:p w14:paraId="33CFC25F">
            <w:pPr>
              <w:widowControl/>
              <w:spacing w:before="100" w:beforeAutospacing="1" w:after="100" w:afterAutospacing="1"/>
              <w:jc w:val="center"/>
              <w:rPr>
                <w:rFonts w:hint="eastAsia" w:ascii="宋体" w:hAnsi="宋体" w:eastAsia="宋体" w:cs="宋体"/>
                <w:kern w:val="0"/>
                <w:sz w:val="24"/>
                <w:szCs w:val="24"/>
              </w:rPr>
            </w:pPr>
            <w:r>
              <w:rPr>
                <w:rFonts w:hint="eastAsia" w:ascii="宋体" w:hAnsi="宋体" w:eastAsia="宋体" w:cs="宋体"/>
                <w:b/>
                <w:bCs/>
                <w:kern w:val="0"/>
                <w:sz w:val="24"/>
                <w:szCs w:val="24"/>
                <w:lang w:eastAsia="zh-CN"/>
              </w:rPr>
              <w:t>三</w:t>
            </w:r>
            <w:r>
              <w:rPr>
                <w:rFonts w:hint="eastAsia" w:ascii="宋体" w:hAnsi="宋体" w:eastAsia="宋体" w:cs="宋体"/>
                <w:b/>
                <w:bCs/>
                <w:kern w:val="0"/>
                <w:sz w:val="24"/>
                <w:szCs w:val="24"/>
              </w:rPr>
              <w:t>、行政强制类(行政强制执行)行政职权运行通用责任清单</w:t>
            </w:r>
            <w:r>
              <w:rPr>
                <w:rFonts w:hint="eastAsia" w:ascii="宋体" w:hAnsi="宋体" w:eastAsia="宋体" w:cs="宋体"/>
                <w:kern w:val="0"/>
                <w:sz w:val="24"/>
                <w:szCs w:val="24"/>
              </w:rPr>
              <w:t xml:space="preserve"> </w:t>
            </w:r>
          </w:p>
        </w:tc>
      </w:tr>
      <w:tr w14:paraId="22D7D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5" w:hRule="atLeast"/>
          <w:tblCellSpacing w:w="0" w:type="dxa"/>
        </w:trPr>
        <w:tc>
          <w:tcPr>
            <w:tcW w:w="798" w:type="dxa"/>
            <w:shd w:val="clear" w:color="auto" w:fill="auto"/>
            <w:tcMar>
              <w:top w:w="0" w:type="dxa"/>
              <w:left w:w="105" w:type="dxa"/>
              <w:bottom w:w="0" w:type="dxa"/>
              <w:right w:w="105" w:type="dxa"/>
            </w:tcMar>
            <w:vAlign w:val="center"/>
          </w:tcPr>
          <w:p w14:paraId="4807884A">
            <w:pPr>
              <w:widowControl/>
              <w:spacing w:before="100" w:beforeAutospacing="1" w:after="100" w:afterAutospacing="1"/>
              <w:jc w:val="center"/>
              <w:rPr>
                <w:rFonts w:hint="eastAsia" w:ascii="宋体" w:hAnsi="宋体" w:eastAsia="宋体" w:cs="宋体"/>
                <w:kern w:val="0"/>
                <w:sz w:val="24"/>
                <w:szCs w:val="24"/>
              </w:rPr>
            </w:pPr>
            <w:r>
              <w:rPr>
                <w:rFonts w:hint="eastAsia" w:ascii="宋体" w:hAnsi="宋体" w:eastAsia="宋体" w:cs="宋体"/>
                <w:b/>
                <w:bCs/>
                <w:kern w:val="0"/>
                <w:sz w:val="24"/>
                <w:szCs w:val="24"/>
              </w:rPr>
              <w:t>序号</w:t>
            </w:r>
            <w:r>
              <w:rPr>
                <w:rFonts w:hint="eastAsia" w:ascii="宋体" w:hAnsi="宋体" w:eastAsia="宋体" w:cs="宋体"/>
                <w:kern w:val="0"/>
                <w:sz w:val="24"/>
                <w:szCs w:val="24"/>
              </w:rPr>
              <w:t xml:space="preserve"> </w:t>
            </w:r>
          </w:p>
        </w:tc>
        <w:tc>
          <w:tcPr>
            <w:tcW w:w="1798" w:type="dxa"/>
            <w:shd w:val="clear" w:color="auto" w:fill="auto"/>
            <w:tcMar>
              <w:top w:w="0" w:type="dxa"/>
              <w:left w:w="105" w:type="dxa"/>
              <w:bottom w:w="0" w:type="dxa"/>
              <w:right w:w="105" w:type="dxa"/>
            </w:tcMar>
            <w:vAlign w:val="center"/>
          </w:tcPr>
          <w:p w14:paraId="60FCBA1C">
            <w:pPr>
              <w:widowControl/>
              <w:spacing w:before="100" w:beforeAutospacing="1" w:after="100" w:afterAutospacing="1"/>
              <w:jc w:val="center"/>
              <w:rPr>
                <w:rFonts w:hint="eastAsia" w:ascii="宋体" w:hAnsi="宋体" w:eastAsia="宋体" w:cs="宋体"/>
                <w:kern w:val="0"/>
                <w:sz w:val="24"/>
                <w:szCs w:val="24"/>
              </w:rPr>
            </w:pPr>
            <w:r>
              <w:rPr>
                <w:rFonts w:hint="eastAsia" w:ascii="宋体" w:hAnsi="宋体" w:eastAsia="宋体" w:cs="宋体"/>
                <w:b/>
                <w:bCs/>
                <w:kern w:val="0"/>
                <w:sz w:val="24"/>
                <w:szCs w:val="24"/>
              </w:rPr>
              <w:t>运行环节</w:t>
            </w:r>
            <w:r>
              <w:rPr>
                <w:rFonts w:hint="eastAsia" w:ascii="宋体" w:hAnsi="宋体" w:eastAsia="宋体" w:cs="宋体"/>
                <w:kern w:val="0"/>
                <w:sz w:val="24"/>
                <w:szCs w:val="24"/>
              </w:rPr>
              <w:t xml:space="preserve"> </w:t>
            </w:r>
          </w:p>
        </w:tc>
        <w:tc>
          <w:tcPr>
            <w:tcW w:w="6010" w:type="dxa"/>
            <w:shd w:val="clear" w:color="auto" w:fill="auto"/>
            <w:tcMar>
              <w:top w:w="0" w:type="dxa"/>
              <w:left w:w="105" w:type="dxa"/>
              <w:bottom w:w="0" w:type="dxa"/>
              <w:right w:w="105" w:type="dxa"/>
            </w:tcMar>
            <w:vAlign w:val="center"/>
          </w:tcPr>
          <w:p w14:paraId="794CFE62">
            <w:pPr>
              <w:widowControl/>
              <w:spacing w:before="100" w:beforeAutospacing="1" w:after="100" w:afterAutospacing="1"/>
              <w:jc w:val="center"/>
              <w:rPr>
                <w:rFonts w:hint="eastAsia" w:ascii="宋体" w:hAnsi="宋体" w:eastAsia="宋体" w:cs="宋体"/>
                <w:kern w:val="0"/>
                <w:sz w:val="24"/>
                <w:szCs w:val="24"/>
              </w:rPr>
            </w:pPr>
            <w:r>
              <w:rPr>
                <w:rFonts w:hint="eastAsia" w:ascii="宋体" w:hAnsi="宋体" w:eastAsia="宋体" w:cs="宋体"/>
                <w:b/>
                <w:bCs/>
                <w:kern w:val="0"/>
                <w:sz w:val="24"/>
                <w:szCs w:val="24"/>
              </w:rPr>
              <w:t>责任事项</w:t>
            </w:r>
            <w:r>
              <w:rPr>
                <w:rFonts w:hint="eastAsia" w:ascii="宋体" w:hAnsi="宋体" w:eastAsia="宋体" w:cs="宋体"/>
                <w:kern w:val="0"/>
                <w:sz w:val="24"/>
                <w:szCs w:val="24"/>
              </w:rPr>
              <w:t xml:space="preserve"> </w:t>
            </w:r>
          </w:p>
        </w:tc>
      </w:tr>
      <w:tr w14:paraId="1D74F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tblCellSpacing w:w="0" w:type="dxa"/>
        </w:trPr>
        <w:tc>
          <w:tcPr>
            <w:tcW w:w="798" w:type="dxa"/>
            <w:shd w:val="clear" w:color="auto" w:fill="auto"/>
            <w:tcMar>
              <w:top w:w="0" w:type="dxa"/>
              <w:left w:w="105" w:type="dxa"/>
              <w:bottom w:w="0" w:type="dxa"/>
              <w:right w:w="105" w:type="dxa"/>
            </w:tcMar>
            <w:vAlign w:val="center"/>
          </w:tcPr>
          <w:p w14:paraId="5F8005B6">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1 </w:t>
            </w:r>
          </w:p>
        </w:tc>
        <w:tc>
          <w:tcPr>
            <w:tcW w:w="1798" w:type="dxa"/>
            <w:vMerge w:val="restart"/>
            <w:shd w:val="clear" w:color="auto" w:fill="auto"/>
            <w:tcMar>
              <w:top w:w="0" w:type="dxa"/>
              <w:left w:w="105" w:type="dxa"/>
              <w:bottom w:w="0" w:type="dxa"/>
              <w:right w:w="105" w:type="dxa"/>
            </w:tcMar>
            <w:vAlign w:val="center"/>
          </w:tcPr>
          <w:p w14:paraId="432598D5">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b/>
                <w:bCs/>
                <w:kern w:val="0"/>
                <w:sz w:val="24"/>
                <w:szCs w:val="24"/>
              </w:rPr>
              <w:t>(一)催告</w:t>
            </w:r>
            <w:r>
              <w:rPr>
                <w:rFonts w:hint="eastAsia" w:ascii="宋体" w:hAnsi="宋体" w:eastAsia="宋体" w:cs="宋体"/>
                <w:kern w:val="0"/>
                <w:sz w:val="24"/>
                <w:szCs w:val="24"/>
              </w:rPr>
              <w:t xml:space="preserve"> </w:t>
            </w:r>
          </w:p>
        </w:tc>
        <w:tc>
          <w:tcPr>
            <w:tcW w:w="6010" w:type="dxa"/>
            <w:shd w:val="clear" w:color="auto" w:fill="auto"/>
            <w:tcMar>
              <w:top w:w="0" w:type="dxa"/>
              <w:left w:w="105" w:type="dxa"/>
              <w:bottom w:w="0" w:type="dxa"/>
              <w:right w:w="105" w:type="dxa"/>
            </w:tcMar>
            <w:vAlign w:val="center"/>
          </w:tcPr>
          <w:p w14:paraId="0A6E5BE0">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      行政机关作出强制执行决定前,应当事先书面催告当事人履行义务。 </w:t>
            </w:r>
          </w:p>
        </w:tc>
      </w:tr>
      <w:tr w14:paraId="4F3D4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0" w:hRule="atLeast"/>
          <w:tblCellSpacing w:w="0" w:type="dxa"/>
        </w:trPr>
        <w:tc>
          <w:tcPr>
            <w:tcW w:w="798" w:type="dxa"/>
            <w:shd w:val="clear" w:color="auto" w:fill="auto"/>
            <w:tcMar>
              <w:top w:w="0" w:type="dxa"/>
              <w:left w:w="105" w:type="dxa"/>
              <w:bottom w:w="0" w:type="dxa"/>
              <w:right w:w="105" w:type="dxa"/>
            </w:tcMar>
            <w:vAlign w:val="center"/>
          </w:tcPr>
          <w:p w14:paraId="5A8357C0">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2 </w:t>
            </w:r>
          </w:p>
        </w:tc>
        <w:tc>
          <w:tcPr>
            <w:tcW w:w="1798" w:type="dxa"/>
            <w:vMerge w:val="continue"/>
            <w:vAlign w:val="center"/>
          </w:tcPr>
          <w:p w14:paraId="09996D5D">
            <w:pPr>
              <w:widowControl/>
              <w:jc w:val="left"/>
              <w:rPr>
                <w:rFonts w:ascii="宋体" w:hAnsi="宋体" w:eastAsia="宋体" w:cs="宋体"/>
                <w:kern w:val="0"/>
                <w:sz w:val="24"/>
                <w:szCs w:val="24"/>
              </w:rPr>
            </w:pPr>
          </w:p>
        </w:tc>
        <w:tc>
          <w:tcPr>
            <w:tcW w:w="6010" w:type="dxa"/>
            <w:shd w:val="clear" w:color="auto" w:fill="auto"/>
            <w:tcMar>
              <w:top w:w="0" w:type="dxa"/>
              <w:left w:w="105" w:type="dxa"/>
              <w:bottom w:w="0" w:type="dxa"/>
              <w:right w:w="105" w:type="dxa"/>
            </w:tcMar>
            <w:vAlign w:val="center"/>
          </w:tcPr>
          <w:p w14:paraId="59B3E547">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      催告书应当直接送达当事人。当事人拒绝接收或者无法直接送达当事人的,依照民事诉讼法的有关规定送达。 </w:t>
            </w:r>
          </w:p>
        </w:tc>
      </w:tr>
      <w:tr w14:paraId="4B8FB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5" w:hRule="atLeast"/>
          <w:tblCellSpacing w:w="0" w:type="dxa"/>
        </w:trPr>
        <w:tc>
          <w:tcPr>
            <w:tcW w:w="798" w:type="dxa"/>
            <w:shd w:val="clear" w:color="auto" w:fill="auto"/>
            <w:tcMar>
              <w:top w:w="0" w:type="dxa"/>
              <w:left w:w="105" w:type="dxa"/>
              <w:bottom w:w="0" w:type="dxa"/>
              <w:right w:w="105" w:type="dxa"/>
            </w:tcMar>
            <w:vAlign w:val="center"/>
          </w:tcPr>
          <w:p w14:paraId="58572B35">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3 </w:t>
            </w:r>
          </w:p>
        </w:tc>
        <w:tc>
          <w:tcPr>
            <w:tcW w:w="1798" w:type="dxa"/>
            <w:vMerge w:val="continue"/>
            <w:vAlign w:val="center"/>
          </w:tcPr>
          <w:p w14:paraId="4FF2BAFE">
            <w:pPr>
              <w:widowControl/>
              <w:jc w:val="left"/>
              <w:rPr>
                <w:rFonts w:ascii="宋体" w:hAnsi="宋体" w:eastAsia="宋体" w:cs="宋体"/>
                <w:kern w:val="0"/>
                <w:sz w:val="24"/>
                <w:szCs w:val="24"/>
              </w:rPr>
            </w:pPr>
          </w:p>
        </w:tc>
        <w:tc>
          <w:tcPr>
            <w:tcW w:w="6010" w:type="dxa"/>
            <w:shd w:val="clear" w:color="auto" w:fill="auto"/>
            <w:tcMar>
              <w:top w:w="0" w:type="dxa"/>
              <w:left w:w="105" w:type="dxa"/>
              <w:bottom w:w="0" w:type="dxa"/>
              <w:right w:w="105" w:type="dxa"/>
            </w:tcMar>
            <w:vAlign w:val="center"/>
          </w:tcPr>
          <w:p w14:paraId="28C5630F">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      催告期间,对有证据证明有转移或者隐匿财物迹象的,可以作出立即强制执行决定。 </w:t>
            </w:r>
          </w:p>
        </w:tc>
      </w:tr>
      <w:tr w14:paraId="31880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20" w:hRule="atLeast"/>
          <w:tblCellSpacing w:w="0" w:type="dxa"/>
        </w:trPr>
        <w:tc>
          <w:tcPr>
            <w:tcW w:w="798" w:type="dxa"/>
            <w:shd w:val="clear" w:color="auto" w:fill="auto"/>
            <w:tcMar>
              <w:top w:w="0" w:type="dxa"/>
              <w:left w:w="105" w:type="dxa"/>
              <w:bottom w:w="0" w:type="dxa"/>
              <w:right w:w="105" w:type="dxa"/>
            </w:tcMar>
            <w:vAlign w:val="center"/>
          </w:tcPr>
          <w:p w14:paraId="6FC1BD2D">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4 </w:t>
            </w:r>
          </w:p>
        </w:tc>
        <w:tc>
          <w:tcPr>
            <w:tcW w:w="1798" w:type="dxa"/>
            <w:vMerge w:val="restart"/>
            <w:shd w:val="clear" w:color="auto" w:fill="auto"/>
            <w:tcMar>
              <w:top w:w="0" w:type="dxa"/>
              <w:left w:w="105" w:type="dxa"/>
              <w:bottom w:w="0" w:type="dxa"/>
              <w:right w:w="105" w:type="dxa"/>
            </w:tcMar>
            <w:vAlign w:val="center"/>
          </w:tcPr>
          <w:p w14:paraId="71B9600A">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b/>
                <w:bCs/>
                <w:kern w:val="0"/>
                <w:sz w:val="24"/>
                <w:szCs w:val="24"/>
              </w:rPr>
              <w:t>(二)决定</w:t>
            </w:r>
            <w:r>
              <w:rPr>
                <w:rFonts w:hint="eastAsia" w:ascii="宋体" w:hAnsi="宋体" w:eastAsia="宋体" w:cs="宋体"/>
                <w:kern w:val="0"/>
                <w:sz w:val="24"/>
                <w:szCs w:val="24"/>
              </w:rPr>
              <w:t xml:space="preserve"> </w:t>
            </w:r>
          </w:p>
        </w:tc>
        <w:tc>
          <w:tcPr>
            <w:tcW w:w="6010" w:type="dxa"/>
            <w:shd w:val="clear" w:color="auto" w:fill="auto"/>
            <w:tcMar>
              <w:top w:w="0" w:type="dxa"/>
              <w:left w:w="105" w:type="dxa"/>
              <w:bottom w:w="0" w:type="dxa"/>
              <w:right w:w="105" w:type="dxa"/>
            </w:tcMar>
            <w:vAlign w:val="center"/>
          </w:tcPr>
          <w:p w14:paraId="098CDF2A">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      充分听取当事人的意见,对当事人提出的事实、理由和证据,应当进行记录、复核。当事人提出的事实、理由或者证据成立的,应当采纳。 </w:t>
            </w:r>
          </w:p>
        </w:tc>
      </w:tr>
      <w:tr w14:paraId="3E2C3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5" w:hRule="atLeast"/>
          <w:tblCellSpacing w:w="0" w:type="dxa"/>
        </w:trPr>
        <w:tc>
          <w:tcPr>
            <w:tcW w:w="798" w:type="dxa"/>
            <w:shd w:val="clear" w:color="auto" w:fill="auto"/>
            <w:tcMar>
              <w:top w:w="0" w:type="dxa"/>
              <w:left w:w="105" w:type="dxa"/>
              <w:bottom w:w="0" w:type="dxa"/>
              <w:right w:w="105" w:type="dxa"/>
            </w:tcMar>
            <w:vAlign w:val="center"/>
          </w:tcPr>
          <w:p w14:paraId="25E97CD9">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5 </w:t>
            </w:r>
          </w:p>
        </w:tc>
        <w:tc>
          <w:tcPr>
            <w:tcW w:w="1798" w:type="dxa"/>
            <w:vMerge w:val="continue"/>
            <w:vAlign w:val="center"/>
          </w:tcPr>
          <w:p w14:paraId="427024A8">
            <w:pPr>
              <w:widowControl/>
              <w:jc w:val="left"/>
              <w:rPr>
                <w:rFonts w:ascii="宋体" w:hAnsi="宋体" w:eastAsia="宋体" w:cs="宋体"/>
                <w:kern w:val="0"/>
                <w:sz w:val="24"/>
                <w:szCs w:val="24"/>
              </w:rPr>
            </w:pPr>
          </w:p>
        </w:tc>
        <w:tc>
          <w:tcPr>
            <w:tcW w:w="6010" w:type="dxa"/>
            <w:shd w:val="clear" w:color="auto" w:fill="auto"/>
            <w:tcMar>
              <w:top w:w="0" w:type="dxa"/>
              <w:left w:w="105" w:type="dxa"/>
              <w:bottom w:w="0" w:type="dxa"/>
              <w:right w:w="105" w:type="dxa"/>
            </w:tcMar>
            <w:vAlign w:val="center"/>
          </w:tcPr>
          <w:p w14:paraId="1FF41F8C">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      经催告,当事人逾期仍不履行行政决定,且无正当理由的,应当作出书面强制执行决定。 </w:t>
            </w:r>
          </w:p>
        </w:tc>
      </w:tr>
      <w:tr w14:paraId="3D5AA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65" w:hRule="atLeast"/>
          <w:tblCellSpacing w:w="0" w:type="dxa"/>
        </w:trPr>
        <w:tc>
          <w:tcPr>
            <w:tcW w:w="798" w:type="dxa"/>
            <w:shd w:val="clear" w:color="auto" w:fill="auto"/>
            <w:tcMar>
              <w:top w:w="0" w:type="dxa"/>
              <w:left w:w="105" w:type="dxa"/>
              <w:bottom w:w="0" w:type="dxa"/>
              <w:right w:w="105" w:type="dxa"/>
            </w:tcMar>
            <w:vAlign w:val="center"/>
          </w:tcPr>
          <w:p w14:paraId="4771A476">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6 </w:t>
            </w:r>
          </w:p>
        </w:tc>
        <w:tc>
          <w:tcPr>
            <w:tcW w:w="1798" w:type="dxa"/>
            <w:vMerge w:val="continue"/>
            <w:vAlign w:val="center"/>
          </w:tcPr>
          <w:p w14:paraId="4F8390A1">
            <w:pPr>
              <w:widowControl/>
              <w:jc w:val="left"/>
              <w:rPr>
                <w:rFonts w:ascii="宋体" w:hAnsi="宋体" w:eastAsia="宋体" w:cs="宋体"/>
                <w:kern w:val="0"/>
                <w:sz w:val="24"/>
                <w:szCs w:val="24"/>
              </w:rPr>
            </w:pPr>
          </w:p>
        </w:tc>
        <w:tc>
          <w:tcPr>
            <w:tcW w:w="6010" w:type="dxa"/>
            <w:shd w:val="clear" w:color="auto" w:fill="auto"/>
            <w:tcMar>
              <w:top w:w="0" w:type="dxa"/>
              <w:left w:w="105" w:type="dxa"/>
              <w:bottom w:w="0" w:type="dxa"/>
              <w:right w:w="105" w:type="dxa"/>
            </w:tcMar>
            <w:vAlign w:val="center"/>
          </w:tcPr>
          <w:p w14:paraId="6F4E7E86">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      行政强制执行决定书催告书应当直接送达当事人。当事人拒绝接收或者无法直接送达当事人的,依照民事诉讼法的有关规定送达。 </w:t>
            </w:r>
          </w:p>
        </w:tc>
      </w:tr>
      <w:tr w14:paraId="64FA2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5" w:hRule="atLeast"/>
          <w:tblCellSpacing w:w="0" w:type="dxa"/>
        </w:trPr>
        <w:tc>
          <w:tcPr>
            <w:tcW w:w="798" w:type="dxa"/>
            <w:shd w:val="clear" w:color="auto" w:fill="auto"/>
            <w:tcMar>
              <w:top w:w="0" w:type="dxa"/>
              <w:left w:w="105" w:type="dxa"/>
              <w:bottom w:w="0" w:type="dxa"/>
              <w:right w:w="105" w:type="dxa"/>
            </w:tcMar>
            <w:vAlign w:val="center"/>
          </w:tcPr>
          <w:p w14:paraId="60ABA1DC">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7 </w:t>
            </w:r>
          </w:p>
        </w:tc>
        <w:tc>
          <w:tcPr>
            <w:tcW w:w="1798" w:type="dxa"/>
            <w:vMerge w:val="restart"/>
            <w:shd w:val="clear" w:color="auto" w:fill="auto"/>
            <w:tcMar>
              <w:top w:w="0" w:type="dxa"/>
              <w:left w:w="105" w:type="dxa"/>
              <w:bottom w:w="0" w:type="dxa"/>
              <w:right w:w="105" w:type="dxa"/>
            </w:tcMar>
            <w:vAlign w:val="center"/>
          </w:tcPr>
          <w:p w14:paraId="0BB5E908">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b/>
                <w:bCs/>
                <w:kern w:val="0"/>
                <w:sz w:val="24"/>
                <w:szCs w:val="24"/>
              </w:rPr>
              <w:t>(三)执行</w:t>
            </w:r>
            <w:r>
              <w:rPr>
                <w:rFonts w:hint="eastAsia" w:ascii="宋体" w:hAnsi="宋体" w:eastAsia="宋体" w:cs="宋体"/>
                <w:kern w:val="0"/>
                <w:sz w:val="24"/>
                <w:szCs w:val="24"/>
              </w:rPr>
              <w:t xml:space="preserve"> </w:t>
            </w:r>
          </w:p>
        </w:tc>
        <w:tc>
          <w:tcPr>
            <w:tcW w:w="6010" w:type="dxa"/>
            <w:shd w:val="clear" w:color="auto" w:fill="auto"/>
            <w:tcMar>
              <w:top w:w="0" w:type="dxa"/>
              <w:left w:w="105" w:type="dxa"/>
              <w:bottom w:w="0" w:type="dxa"/>
              <w:right w:w="105" w:type="dxa"/>
            </w:tcMar>
            <w:vAlign w:val="center"/>
          </w:tcPr>
          <w:p w14:paraId="21FE905C">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      依法实施行政强制执行。 </w:t>
            </w:r>
          </w:p>
        </w:tc>
      </w:tr>
      <w:tr w14:paraId="5DE27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10" w:hRule="atLeast"/>
          <w:tblCellSpacing w:w="0" w:type="dxa"/>
        </w:trPr>
        <w:tc>
          <w:tcPr>
            <w:tcW w:w="798" w:type="dxa"/>
            <w:shd w:val="clear" w:color="auto" w:fill="auto"/>
            <w:tcMar>
              <w:top w:w="0" w:type="dxa"/>
              <w:left w:w="105" w:type="dxa"/>
              <w:bottom w:w="0" w:type="dxa"/>
              <w:right w:w="105" w:type="dxa"/>
            </w:tcMar>
            <w:vAlign w:val="center"/>
          </w:tcPr>
          <w:p w14:paraId="7CC42027">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8 </w:t>
            </w:r>
          </w:p>
        </w:tc>
        <w:tc>
          <w:tcPr>
            <w:tcW w:w="1798" w:type="dxa"/>
            <w:vMerge w:val="continue"/>
            <w:vAlign w:val="center"/>
          </w:tcPr>
          <w:p w14:paraId="4C0E3724">
            <w:pPr>
              <w:widowControl/>
              <w:jc w:val="left"/>
              <w:rPr>
                <w:rFonts w:ascii="宋体" w:hAnsi="宋体" w:eastAsia="宋体" w:cs="宋体"/>
                <w:kern w:val="0"/>
                <w:sz w:val="24"/>
                <w:szCs w:val="24"/>
              </w:rPr>
            </w:pPr>
          </w:p>
        </w:tc>
        <w:tc>
          <w:tcPr>
            <w:tcW w:w="6010" w:type="dxa"/>
            <w:shd w:val="clear" w:color="auto" w:fill="auto"/>
            <w:tcMar>
              <w:top w:w="0" w:type="dxa"/>
              <w:left w:w="105" w:type="dxa"/>
              <w:bottom w:w="0" w:type="dxa"/>
              <w:right w:w="105" w:type="dxa"/>
            </w:tcMar>
            <w:vAlign w:val="center"/>
          </w:tcPr>
          <w:p w14:paraId="53CC3AA1">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      不得在夜间或者法定节假日实施行政强制执行,情况紧急的除外;不得对居民生活采取停止供水、供电、供热、供燃气等方式迫使当事人履行相关行政决定。 </w:t>
            </w:r>
          </w:p>
        </w:tc>
      </w:tr>
      <w:tr w14:paraId="76DEC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90" w:hRule="atLeast"/>
          <w:tblCellSpacing w:w="0" w:type="dxa"/>
        </w:trPr>
        <w:tc>
          <w:tcPr>
            <w:tcW w:w="798" w:type="dxa"/>
            <w:shd w:val="clear" w:color="auto" w:fill="auto"/>
            <w:tcMar>
              <w:top w:w="0" w:type="dxa"/>
              <w:left w:w="105" w:type="dxa"/>
              <w:bottom w:w="0" w:type="dxa"/>
              <w:right w:w="105" w:type="dxa"/>
            </w:tcMar>
            <w:vAlign w:val="center"/>
          </w:tcPr>
          <w:p w14:paraId="464E2B13">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9 </w:t>
            </w:r>
          </w:p>
        </w:tc>
        <w:tc>
          <w:tcPr>
            <w:tcW w:w="1798" w:type="dxa"/>
            <w:vMerge w:val="continue"/>
            <w:vAlign w:val="center"/>
          </w:tcPr>
          <w:p w14:paraId="78165F39">
            <w:pPr>
              <w:widowControl/>
              <w:jc w:val="left"/>
              <w:rPr>
                <w:rFonts w:ascii="宋体" w:hAnsi="宋体" w:eastAsia="宋体" w:cs="宋体"/>
                <w:kern w:val="0"/>
                <w:sz w:val="24"/>
                <w:szCs w:val="24"/>
              </w:rPr>
            </w:pPr>
          </w:p>
        </w:tc>
        <w:tc>
          <w:tcPr>
            <w:tcW w:w="6010" w:type="dxa"/>
            <w:shd w:val="clear" w:color="auto" w:fill="auto"/>
            <w:tcMar>
              <w:top w:w="0" w:type="dxa"/>
              <w:left w:w="105" w:type="dxa"/>
              <w:bottom w:w="0" w:type="dxa"/>
              <w:right w:w="105" w:type="dxa"/>
            </w:tcMar>
            <w:vAlign w:val="center"/>
          </w:tcPr>
          <w:p w14:paraId="206F8141">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      对违法的建筑物、构筑物、设施等需要强制拆除的,应当予以公告,限期当事人自行拆除。当事人在法定期限内不申请行政复议或者提起行政诉讼,又不拆除的,可依法强制拆除。 </w:t>
            </w:r>
          </w:p>
        </w:tc>
      </w:tr>
      <w:tr w14:paraId="44B04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80" w:hRule="atLeast"/>
          <w:tblCellSpacing w:w="0" w:type="dxa"/>
        </w:trPr>
        <w:tc>
          <w:tcPr>
            <w:tcW w:w="798" w:type="dxa"/>
            <w:shd w:val="clear" w:color="auto" w:fill="auto"/>
            <w:tcMar>
              <w:top w:w="0" w:type="dxa"/>
              <w:left w:w="105" w:type="dxa"/>
              <w:bottom w:w="0" w:type="dxa"/>
              <w:right w:w="105" w:type="dxa"/>
            </w:tcMar>
            <w:vAlign w:val="center"/>
          </w:tcPr>
          <w:p w14:paraId="55165D2F">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10 </w:t>
            </w:r>
          </w:p>
        </w:tc>
        <w:tc>
          <w:tcPr>
            <w:tcW w:w="1798" w:type="dxa"/>
            <w:vMerge w:val="continue"/>
            <w:vAlign w:val="center"/>
          </w:tcPr>
          <w:p w14:paraId="4FD625C8">
            <w:pPr>
              <w:widowControl/>
              <w:jc w:val="left"/>
              <w:rPr>
                <w:rFonts w:ascii="宋体" w:hAnsi="宋体" w:eastAsia="宋体" w:cs="宋体"/>
                <w:kern w:val="0"/>
                <w:sz w:val="24"/>
                <w:szCs w:val="24"/>
              </w:rPr>
            </w:pPr>
          </w:p>
        </w:tc>
        <w:tc>
          <w:tcPr>
            <w:tcW w:w="6010" w:type="dxa"/>
            <w:shd w:val="clear" w:color="auto" w:fill="auto"/>
            <w:tcMar>
              <w:top w:w="0" w:type="dxa"/>
              <w:left w:w="105" w:type="dxa"/>
              <w:bottom w:w="0" w:type="dxa"/>
              <w:right w:w="105" w:type="dxa"/>
            </w:tcMar>
            <w:vAlign w:val="center"/>
          </w:tcPr>
          <w:p w14:paraId="12D592A0">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划</w:t>
            </w:r>
            <w:bookmarkStart w:id="0" w:name="_GoBack"/>
            <w:bookmarkEnd w:id="0"/>
            <w:r>
              <w:rPr>
                <w:rFonts w:hint="eastAsia" w:ascii="宋体" w:hAnsi="宋体" w:eastAsia="宋体" w:cs="宋体"/>
                <w:kern w:val="0"/>
                <w:sz w:val="24"/>
                <w:szCs w:val="24"/>
              </w:rPr>
              <w:t xml:space="preserve">拨的存款、汇款以及拍卖和依法处理所得的款项应当上缴国库或者划入财政专户,不得以任何形式截留、私分或者变相私分。 </w:t>
            </w:r>
          </w:p>
        </w:tc>
      </w:tr>
      <w:tr w14:paraId="68BEA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5" w:hRule="atLeast"/>
          <w:tblCellSpacing w:w="0" w:type="dxa"/>
        </w:trPr>
        <w:tc>
          <w:tcPr>
            <w:tcW w:w="798" w:type="dxa"/>
            <w:shd w:val="clear" w:color="auto" w:fill="auto"/>
            <w:tcMar>
              <w:top w:w="0" w:type="dxa"/>
              <w:left w:w="105" w:type="dxa"/>
              <w:bottom w:w="0" w:type="dxa"/>
              <w:right w:w="105" w:type="dxa"/>
            </w:tcMar>
            <w:vAlign w:val="center"/>
          </w:tcPr>
          <w:p w14:paraId="0585429F">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11 </w:t>
            </w:r>
          </w:p>
        </w:tc>
        <w:tc>
          <w:tcPr>
            <w:tcW w:w="1798" w:type="dxa"/>
            <w:shd w:val="clear" w:color="auto" w:fill="auto"/>
            <w:tcMar>
              <w:top w:w="0" w:type="dxa"/>
              <w:left w:w="105" w:type="dxa"/>
              <w:bottom w:w="0" w:type="dxa"/>
              <w:right w:w="105" w:type="dxa"/>
            </w:tcMar>
            <w:vAlign w:val="center"/>
          </w:tcPr>
          <w:p w14:paraId="2081A9AF">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b/>
                <w:bCs/>
                <w:kern w:val="0"/>
                <w:sz w:val="24"/>
                <w:szCs w:val="24"/>
              </w:rPr>
              <w:t>(四)事后监管</w:t>
            </w:r>
            <w:r>
              <w:rPr>
                <w:rFonts w:hint="eastAsia" w:ascii="宋体" w:hAnsi="宋体" w:eastAsia="宋体" w:cs="宋体"/>
                <w:kern w:val="0"/>
                <w:sz w:val="24"/>
                <w:szCs w:val="24"/>
              </w:rPr>
              <w:t xml:space="preserve"> </w:t>
            </w:r>
          </w:p>
        </w:tc>
        <w:tc>
          <w:tcPr>
            <w:tcW w:w="6010" w:type="dxa"/>
            <w:shd w:val="clear" w:color="auto" w:fill="auto"/>
            <w:tcMar>
              <w:top w:w="0" w:type="dxa"/>
              <w:left w:w="105" w:type="dxa"/>
              <w:bottom w:w="0" w:type="dxa"/>
              <w:right w:w="105" w:type="dxa"/>
            </w:tcMar>
            <w:vAlign w:val="center"/>
          </w:tcPr>
          <w:p w14:paraId="305AAAB6">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      建立健全事后监管制度,依法履行监督责任。 </w:t>
            </w:r>
          </w:p>
        </w:tc>
      </w:tr>
      <w:tr w14:paraId="3C17C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0" w:hRule="atLeast"/>
          <w:tblCellSpacing w:w="0" w:type="dxa"/>
        </w:trPr>
        <w:tc>
          <w:tcPr>
            <w:tcW w:w="8606" w:type="dxa"/>
            <w:gridSpan w:val="3"/>
            <w:shd w:val="clear" w:color="auto" w:fill="auto"/>
            <w:tcMar>
              <w:top w:w="0" w:type="dxa"/>
              <w:left w:w="105" w:type="dxa"/>
              <w:bottom w:w="0" w:type="dxa"/>
              <w:right w:w="105" w:type="dxa"/>
            </w:tcMar>
            <w:vAlign w:val="center"/>
          </w:tcPr>
          <w:p w14:paraId="771C0E34">
            <w:pPr>
              <w:widowControl/>
              <w:spacing w:before="100" w:beforeAutospacing="1" w:after="100" w:afterAutospacing="1"/>
              <w:jc w:val="center"/>
              <w:rPr>
                <w:rFonts w:hint="eastAsia" w:ascii="宋体" w:hAnsi="宋体" w:eastAsia="宋体" w:cs="宋体"/>
                <w:kern w:val="0"/>
                <w:sz w:val="24"/>
                <w:szCs w:val="24"/>
              </w:rPr>
            </w:pPr>
            <w:r>
              <w:rPr>
                <w:rFonts w:hint="eastAsia" w:ascii="宋体" w:hAnsi="宋体" w:eastAsia="宋体" w:cs="宋体"/>
                <w:b/>
                <w:bCs/>
                <w:kern w:val="0"/>
                <w:sz w:val="24"/>
                <w:szCs w:val="24"/>
                <w:lang w:eastAsia="zh-CN"/>
              </w:rPr>
              <w:t>三</w:t>
            </w:r>
            <w:r>
              <w:rPr>
                <w:rFonts w:hint="eastAsia" w:ascii="宋体" w:hAnsi="宋体" w:eastAsia="宋体" w:cs="宋体"/>
                <w:b/>
                <w:bCs/>
                <w:kern w:val="0"/>
                <w:sz w:val="24"/>
                <w:szCs w:val="24"/>
              </w:rPr>
              <w:t>、行政检查类行政职权运行通用责任清单</w:t>
            </w:r>
            <w:r>
              <w:rPr>
                <w:rFonts w:hint="eastAsia" w:ascii="宋体" w:hAnsi="宋体" w:eastAsia="宋体" w:cs="宋体"/>
                <w:kern w:val="0"/>
                <w:sz w:val="24"/>
                <w:szCs w:val="24"/>
              </w:rPr>
              <w:t xml:space="preserve"> </w:t>
            </w:r>
          </w:p>
        </w:tc>
      </w:tr>
      <w:tr w14:paraId="5EBEF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tblCellSpacing w:w="0" w:type="dxa"/>
        </w:trPr>
        <w:tc>
          <w:tcPr>
            <w:tcW w:w="798" w:type="dxa"/>
            <w:shd w:val="clear" w:color="auto" w:fill="auto"/>
            <w:tcMar>
              <w:top w:w="0" w:type="dxa"/>
              <w:left w:w="105" w:type="dxa"/>
              <w:bottom w:w="0" w:type="dxa"/>
              <w:right w:w="105" w:type="dxa"/>
            </w:tcMar>
            <w:vAlign w:val="center"/>
          </w:tcPr>
          <w:p w14:paraId="436F2FAD">
            <w:pPr>
              <w:widowControl/>
              <w:spacing w:before="100" w:beforeAutospacing="1" w:after="100" w:afterAutospacing="1"/>
              <w:jc w:val="center"/>
              <w:rPr>
                <w:rFonts w:hint="eastAsia" w:ascii="宋体" w:hAnsi="宋体" w:eastAsia="宋体" w:cs="宋体"/>
                <w:kern w:val="0"/>
                <w:sz w:val="24"/>
                <w:szCs w:val="24"/>
              </w:rPr>
            </w:pPr>
            <w:r>
              <w:rPr>
                <w:rFonts w:hint="eastAsia" w:ascii="宋体" w:hAnsi="宋体" w:eastAsia="宋体" w:cs="宋体"/>
                <w:b/>
                <w:bCs/>
                <w:kern w:val="0"/>
                <w:sz w:val="24"/>
                <w:szCs w:val="24"/>
              </w:rPr>
              <w:t>序号</w:t>
            </w:r>
            <w:r>
              <w:rPr>
                <w:rFonts w:hint="eastAsia" w:ascii="宋体" w:hAnsi="宋体" w:eastAsia="宋体" w:cs="宋体"/>
                <w:kern w:val="0"/>
                <w:sz w:val="24"/>
                <w:szCs w:val="24"/>
              </w:rPr>
              <w:t xml:space="preserve"> </w:t>
            </w:r>
          </w:p>
        </w:tc>
        <w:tc>
          <w:tcPr>
            <w:tcW w:w="1798" w:type="dxa"/>
            <w:shd w:val="clear" w:color="auto" w:fill="auto"/>
            <w:tcMar>
              <w:top w:w="0" w:type="dxa"/>
              <w:left w:w="105" w:type="dxa"/>
              <w:bottom w:w="0" w:type="dxa"/>
              <w:right w:w="105" w:type="dxa"/>
            </w:tcMar>
            <w:vAlign w:val="center"/>
          </w:tcPr>
          <w:p w14:paraId="1F7AC8A1">
            <w:pPr>
              <w:widowControl/>
              <w:spacing w:before="100" w:beforeAutospacing="1" w:after="100" w:afterAutospacing="1"/>
              <w:jc w:val="center"/>
              <w:rPr>
                <w:rFonts w:hint="eastAsia" w:ascii="宋体" w:hAnsi="宋体" w:eastAsia="宋体" w:cs="宋体"/>
                <w:kern w:val="0"/>
                <w:sz w:val="24"/>
                <w:szCs w:val="24"/>
              </w:rPr>
            </w:pPr>
            <w:r>
              <w:rPr>
                <w:rFonts w:hint="eastAsia" w:ascii="宋体" w:hAnsi="宋体" w:eastAsia="宋体" w:cs="宋体"/>
                <w:b/>
                <w:bCs/>
                <w:kern w:val="0"/>
                <w:sz w:val="24"/>
                <w:szCs w:val="24"/>
              </w:rPr>
              <w:t>运行环节</w:t>
            </w:r>
            <w:r>
              <w:rPr>
                <w:rFonts w:hint="eastAsia" w:ascii="宋体" w:hAnsi="宋体" w:eastAsia="宋体" w:cs="宋体"/>
                <w:kern w:val="0"/>
                <w:sz w:val="24"/>
                <w:szCs w:val="24"/>
              </w:rPr>
              <w:t xml:space="preserve"> </w:t>
            </w:r>
          </w:p>
        </w:tc>
        <w:tc>
          <w:tcPr>
            <w:tcW w:w="6010" w:type="dxa"/>
            <w:shd w:val="clear" w:color="auto" w:fill="auto"/>
            <w:tcMar>
              <w:top w:w="0" w:type="dxa"/>
              <w:left w:w="105" w:type="dxa"/>
              <w:bottom w:w="0" w:type="dxa"/>
              <w:right w:w="105" w:type="dxa"/>
            </w:tcMar>
            <w:vAlign w:val="center"/>
          </w:tcPr>
          <w:p w14:paraId="7E6F0036">
            <w:pPr>
              <w:widowControl/>
              <w:spacing w:before="100" w:beforeAutospacing="1" w:after="100" w:afterAutospacing="1"/>
              <w:jc w:val="center"/>
              <w:rPr>
                <w:rFonts w:hint="eastAsia" w:ascii="宋体" w:hAnsi="宋体" w:eastAsia="宋体" w:cs="宋体"/>
                <w:kern w:val="0"/>
                <w:sz w:val="24"/>
                <w:szCs w:val="24"/>
              </w:rPr>
            </w:pPr>
            <w:r>
              <w:rPr>
                <w:rFonts w:hint="eastAsia" w:ascii="宋体" w:hAnsi="宋体" w:eastAsia="宋体" w:cs="宋体"/>
                <w:b/>
                <w:bCs/>
                <w:kern w:val="0"/>
                <w:sz w:val="24"/>
                <w:szCs w:val="24"/>
              </w:rPr>
              <w:t>责任事项</w:t>
            </w:r>
            <w:r>
              <w:rPr>
                <w:rFonts w:hint="eastAsia" w:ascii="宋体" w:hAnsi="宋体" w:eastAsia="宋体" w:cs="宋体"/>
                <w:kern w:val="0"/>
                <w:sz w:val="24"/>
                <w:szCs w:val="24"/>
              </w:rPr>
              <w:t xml:space="preserve"> </w:t>
            </w:r>
          </w:p>
        </w:tc>
      </w:tr>
      <w:tr w14:paraId="3E119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0" w:hRule="atLeast"/>
          <w:tblCellSpacing w:w="0" w:type="dxa"/>
        </w:trPr>
        <w:tc>
          <w:tcPr>
            <w:tcW w:w="798" w:type="dxa"/>
            <w:shd w:val="clear" w:color="auto" w:fill="auto"/>
            <w:noWrap/>
            <w:tcMar>
              <w:top w:w="0" w:type="dxa"/>
              <w:left w:w="105" w:type="dxa"/>
              <w:bottom w:w="0" w:type="dxa"/>
              <w:right w:w="105" w:type="dxa"/>
            </w:tcMar>
            <w:vAlign w:val="center"/>
          </w:tcPr>
          <w:p w14:paraId="203ABB6E">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1 </w:t>
            </w:r>
          </w:p>
        </w:tc>
        <w:tc>
          <w:tcPr>
            <w:tcW w:w="1798" w:type="dxa"/>
            <w:vMerge w:val="restart"/>
            <w:shd w:val="clear" w:color="auto" w:fill="auto"/>
            <w:tcMar>
              <w:top w:w="0" w:type="dxa"/>
              <w:left w:w="105" w:type="dxa"/>
              <w:bottom w:w="0" w:type="dxa"/>
              <w:right w:w="105" w:type="dxa"/>
            </w:tcMar>
            <w:vAlign w:val="center"/>
          </w:tcPr>
          <w:p w14:paraId="3F84258E">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b/>
                <w:bCs/>
                <w:kern w:val="0"/>
                <w:sz w:val="24"/>
                <w:szCs w:val="24"/>
              </w:rPr>
              <w:t>(一)制定方案</w:t>
            </w:r>
            <w:r>
              <w:rPr>
                <w:rFonts w:hint="eastAsia" w:ascii="宋体" w:hAnsi="宋体" w:eastAsia="宋体" w:cs="宋体"/>
                <w:kern w:val="0"/>
                <w:sz w:val="24"/>
                <w:szCs w:val="24"/>
              </w:rPr>
              <w:t xml:space="preserve"> </w:t>
            </w:r>
          </w:p>
        </w:tc>
        <w:tc>
          <w:tcPr>
            <w:tcW w:w="6010" w:type="dxa"/>
            <w:shd w:val="clear" w:color="auto" w:fill="auto"/>
            <w:tcMar>
              <w:top w:w="0" w:type="dxa"/>
              <w:left w:w="105" w:type="dxa"/>
              <w:bottom w:w="0" w:type="dxa"/>
              <w:right w:w="105" w:type="dxa"/>
            </w:tcMar>
            <w:vAlign w:val="center"/>
          </w:tcPr>
          <w:p w14:paraId="79C9FF41">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      实施检查前应当依法制定含有正当理由、事项和内容的检查方案。 </w:t>
            </w:r>
          </w:p>
        </w:tc>
      </w:tr>
      <w:tr w14:paraId="3E69A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0" w:hRule="atLeast"/>
          <w:tblCellSpacing w:w="0" w:type="dxa"/>
        </w:trPr>
        <w:tc>
          <w:tcPr>
            <w:tcW w:w="798" w:type="dxa"/>
            <w:shd w:val="clear" w:color="auto" w:fill="auto"/>
            <w:noWrap/>
            <w:tcMar>
              <w:top w:w="0" w:type="dxa"/>
              <w:left w:w="105" w:type="dxa"/>
              <w:bottom w:w="0" w:type="dxa"/>
              <w:right w:w="105" w:type="dxa"/>
            </w:tcMar>
            <w:vAlign w:val="center"/>
          </w:tcPr>
          <w:p w14:paraId="06D106F0">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2 </w:t>
            </w:r>
          </w:p>
        </w:tc>
        <w:tc>
          <w:tcPr>
            <w:tcW w:w="1798" w:type="dxa"/>
            <w:vMerge w:val="continue"/>
            <w:vAlign w:val="center"/>
          </w:tcPr>
          <w:p w14:paraId="2DF3441A">
            <w:pPr>
              <w:widowControl/>
              <w:jc w:val="left"/>
              <w:rPr>
                <w:rFonts w:ascii="宋体" w:hAnsi="宋体" w:eastAsia="宋体" w:cs="宋体"/>
                <w:kern w:val="0"/>
                <w:sz w:val="24"/>
                <w:szCs w:val="24"/>
              </w:rPr>
            </w:pPr>
          </w:p>
        </w:tc>
        <w:tc>
          <w:tcPr>
            <w:tcW w:w="6010" w:type="dxa"/>
            <w:shd w:val="clear" w:color="auto" w:fill="auto"/>
            <w:tcMar>
              <w:top w:w="0" w:type="dxa"/>
              <w:left w:w="105" w:type="dxa"/>
              <w:bottom w:w="0" w:type="dxa"/>
              <w:right w:w="105" w:type="dxa"/>
            </w:tcMar>
            <w:vAlign w:val="center"/>
          </w:tcPr>
          <w:p w14:paraId="0A874898">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      同一行政机关的多个内设机构和下属机构对同一当事人不同事项的行政检查,能够合并检查的应当合并检查。 </w:t>
            </w:r>
          </w:p>
        </w:tc>
      </w:tr>
      <w:tr w14:paraId="6A4D9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5" w:hRule="atLeast"/>
          <w:tblCellSpacing w:w="0" w:type="dxa"/>
        </w:trPr>
        <w:tc>
          <w:tcPr>
            <w:tcW w:w="798" w:type="dxa"/>
            <w:shd w:val="clear" w:color="auto" w:fill="auto"/>
            <w:noWrap/>
            <w:tcMar>
              <w:top w:w="0" w:type="dxa"/>
              <w:left w:w="105" w:type="dxa"/>
              <w:bottom w:w="0" w:type="dxa"/>
              <w:right w:w="105" w:type="dxa"/>
            </w:tcMar>
            <w:vAlign w:val="center"/>
          </w:tcPr>
          <w:p w14:paraId="3818EACE">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3 </w:t>
            </w:r>
          </w:p>
        </w:tc>
        <w:tc>
          <w:tcPr>
            <w:tcW w:w="1798" w:type="dxa"/>
            <w:vMerge w:val="continue"/>
            <w:vAlign w:val="center"/>
          </w:tcPr>
          <w:p w14:paraId="0E3A2FA7">
            <w:pPr>
              <w:widowControl/>
              <w:jc w:val="left"/>
              <w:rPr>
                <w:rFonts w:ascii="宋体" w:hAnsi="宋体" w:eastAsia="宋体" w:cs="宋体"/>
                <w:kern w:val="0"/>
                <w:sz w:val="24"/>
                <w:szCs w:val="24"/>
              </w:rPr>
            </w:pPr>
          </w:p>
        </w:tc>
        <w:tc>
          <w:tcPr>
            <w:tcW w:w="6010" w:type="dxa"/>
            <w:shd w:val="clear" w:color="auto" w:fill="auto"/>
            <w:tcMar>
              <w:top w:w="0" w:type="dxa"/>
              <w:left w:w="105" w:type="dxa"/>
              <w:bottom w:w="0" w:type="dxa"/>
              <w:right w:w="105" w:type="dxa"/>
            </w:tcMar>
            <w:vAlign w:val="center"/>
          </w:tcPr>
          <w:p w14:paraId="31E54D82">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      上下级行政机关应当按照级别管辖和地域管辖相结合的原则合理划分检查范围,避免重复检查。 </w:t>
            </w:r>
          </w:p>
        </w:tc>
      </w:tr>
      <w:tr w14:paraId="213A0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5" w:hRule="atLeast"/>
          <w:tblCellSpacing w:w="0" w:type="dxa"/>
        </w:trPr>
        <w:tc>
          <w:tcPr>
            <w:tcW w:w="798" w:type="dxa"/>
            <w:shd w:val="clear" w:color="auto" w:fill="auto"/>
            <w:noWrap/>
            <w:tcMar>
              <w:top w:w="0" w:type="dxa"/>
              <w:left w:w="105" w:type="dxa"/>
              <w:bottom w:w="0" w:type="dxa"/>
              <w:right w:w="105" w:type="dxa"/>
            </w:tcMar>
            <w:vAlign w:val="center"/>
          </w:tcPr>
          <w:p w14:paraId="253A6922">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4 </w:t>
            </w:r>
          </w:p>
        </w:tc>
        <w:tc>
          <w:tcPr>
            <w:tcW w:w="1798" w:type="dxa"/>
            <w:vMerge w:val="restart"/>
            <w:shd w:val="clear" w:color="auto" w:fill="auto"/>
            <w:tcMar>
              <w:top w:w="0" w:type="dxa"/>
              <w:left w:w="105" w:type="dxa"/>
              <w:bottom w:w="0" w:type="dxa"/>
              <w:right w:w="105" w:type="dxa"/>
            </w:tcMar>
            <w:vAlign w:val="center"/>
          </w:tcPr>
          <w:p w14:paraId="123A838A">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b/>
                <w:bCs/>
                <w:kern w:val="0"/>
                <w:sz w:val="24"/>
                <w:szCs w:val="24"/>
              </w:rPr>
              <w:t>(二)实施检查</w:t>
            </w:r>
            <w:r>
              <w:rPr>
                <w:rFonts w:hint="eastAsia" w:ascii="宋体" w:hAnsi="宋体" w:eastAsia="宋体" w:cs="宋体"/>
                <w:kern w:val="0"/>
                <w:sz w:val="24"/>
                <w:szCs w:val="24"/>
              </w:rPr>
              <w:t xml:space="preserve"> </w:t>
            </w:r>
          </w:p>
        </w:tc>
        <w:tc>
          <w:tcPr>
            <w:tcW w:w="6010" w:type="dxa"/>
            <w:shd w:val="clear" w:color="auto" w:fill="auto"/>
            <w:tcMar>
              <w:top w:w="0" w:type="dxa"/>
              <w:left w:w="105" w:type="dxa"/>
              <w:bottom w:w="0" w:type="dxa"/>
              <w:right w:w="105" w:type="dxa"/>
            </w:tcMar>
            <w:vAlign w:val="center"/>
          </w:tcPr>
          <w:p w14:paraId="5FB19BC4">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      依照检查方案规定的时限、范围开展检查。 </w:t>
            </w:r>
          </w:p>
        </w:tc>
      </w:tr>
      <w:tr w14:paraId="1254E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5" w:hRule="atLeast"/>
          <w:tblCellSpacing w:w="0" w:type="dxa"/>
        </w:trPr>
        <w:tc>
          <w:tcPr>
            <w:tcW w:w="798" w:type="dxa"/>
            <w:shd w:val="clear" w:color="auto" w:fill="auto"/>
            <w:noWrap/>
            <w:tcMar>
              <w:top w:w="0" w:type="dxa"/>
              <w:left w:w="105" w:type="dxa"/>
              <w:bottom w:w="0" w:type="dxa"/>
              <w:right w:w="105" w:type="dxa"/>
            </w:tcMar>
            <w:vAlign w:val="center"/>
          </w:tcPr>
          <w:p w14:paraId="30ADB520">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5 </w:t>
            </w:r>
          </w:p>
        </w:tc>
        <w:tc>
          <w:tcPr>
            <w:tcW w:w="1798" w:type="dxa"/>
            <w:vMerge w:val="continue"/>
            <w:vAlign w:val="center"/>
          </w:tcPr>
          <w:p w14:paraId="6268BF23">
            <w:pPr>
              <w:widowControl/>
              <w:jc w:val="left"/>
              <w:rPr>
                <w:rFonts w:ascii="宋体" w:hAnsi="宋体" w:eastAsia="宋体" w:cs="宋体"/>
                <w:kern w:val="0"/>
                <w:sz w:val="24"/>
                <w:szCs w:val="24"/>
              </w:rPr>
            </w:pPr>
          </w:p>
        </w:tc>
        <w:tc>
          <w:tcPr>
            <w:tcW w:w="6010" w:type="dxa"/>
            <w:shd w:val="clear" w:color="auto" w:fill="auto"/>
            <w:tcMar>
              <w:top w:w="0" w:type="dxa"/>
              <w:left w:w="105" w:type="dxa"/>
              <w:bottom w:w="0" w:type="dxa"/>
              <w:right w:w="105" w:type="dxa"/>
            </w:tcMar>
            <w:vAlign w:val="center"/>
          </w:tcPr>
          <w:p w14:paraId="56B92FD5">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      实施检查时应当出示执法身份证件、检查方案。 </w:t>
            </w:r>
          </w:p>
        </w:tc>
      </w:tr>
      <w:tr w14:paraId="60237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tblCellSpacing w:w="0" w:type="dxa"/>
        </w:trPr>
        <w:tc>
          <w:tcPr>
            <w:tcW w:w="798" w:type="dxa"/>
            <w:shd w:val="clear" w:color="auto" w:fill="auto"/>
            <w:noWrap/>
            <w:tcMar>
              <w:top w:w="0" w:type="dxa"/>
              <w:left w:w="105" w:type="dxa"/>
              <w:bottom w:w="0" w:type="dxa"/>
              <w:right w:w="105" w:type="dxa"/>
            </w:tcMar>
            <w:vAlign w:val="center"/>
          </w:tcPr>
          <w:p w14:paraId="5A671F9D">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6 </w:t>
            </w:r>
          </w:p>
        </w:tc>
        <w:tc>
          <w:tcPr>
            <w:tcW w:w="1798" w:type="dxa"/>
            <w:vMerge w:val="continue"/>
            <w:vAlign w:val="center"/>
          </w:tcPr>
          <w:p w14:paraId="289FB300">
            <w:pPr>
              <w:widowControl/>
              <w:jc w:val="left"/>
              <w:rPr>
                <w:rFonts w:ascii="宋体" w:hAnsi="宋体" w:eastAsia="宋体" w:cs="宋体"/>
                <w:kern w:val="0"/>
                <w:sz w:val="24"/>
                <w:szCs w:val="24"/>
              </w:rPr>
            </w:pPr>
          </w:p>
        </w:tc>
        <w:tc>
          <w:tcPr>
            <w:tcW w:w="6010" w:type="dxa"/>
            <w:shd w:val="clear" w:color="auto" w:fill="auto"/>
            <w:tcMar>
              <w:top w:w="0" w:type="dxa"/>
              <w:left w:w="105" w:type="dxa"/>
              <w:bottom w:w="0" w:type="dxa"/>
              <w:right w:w="105" w:type="dxa"/>
            </w:tcMar>
            <w:vAlign w:val="center"/>
          </w:tcPr>
          <w:p w14:paraId="207D3071">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      依法查阅资料、查看现场、听取当事人陈述申辩并取证。 </w:t>
            </w:r>
          </w:p>
        </w:tc>
      </w:tr>
      <w:tr w14:paraId="79BDA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5" w:hRule="atLeast"/>
          <w:tblCellSpacing w:w="0" w:type="dxa"/>
        </w:trPr>
        <w:tc>
          <w:tcPr>
            <w:tcW w:w="798" w:type="dxa"/>
            <w:shd w:val="clear" w:color="auto" w:fill="auto"/>
            <w:noWrap/>
            <w:tcMar>
              <w:top w:w="0" w:type="dxa"/>
              <w:left w:w="105" w:type="dxa"/>
              <w:bottom w:w="0" w:type="dxa"/>
              <w:right w:w="105" w:type="dxa"/>
            </w:tcMar>
            <w:vAlign w:val="center"/>
          </w:tcPr>
          <w:p w14:paraId="6DC09FEA">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7 </w:t>
            </w:r>
          </w:p>
        </w:tc>
        <w:tc>
          <w:tcPr>
            <w:tcW w:w="1798" w:type="dxa"/>
            <w:vMerge w:val="continue"/>
            <w:vAlign w:val="center"/>
          </w:tcPr>
          <w:p w14:paraId="38AE69CC">
            <w:pPr>
              <w:widowControl/>
              <w:jc w:val="left"/>
              <w:rPr>
                <w:rFonts w:ascii="宋体" w:hAnsi="宋体" w:eastAsia="宋体" w:cs="宋体"/>
                <w:kern w:val="0"/>
                <w:sz w:val="24"/>
                <w:szCs w:val="24"/>
              </w:rPr>
            </w:pPr>
          </w:p>
        </w:tc>
        <w:tc>
          <w:tcPr>
            <w:tcW w:w="6010" w:type="dxa"/>
            <w:shd w:val="clear" w:color="auto" w:fill="auto"/>
            <w:tcMar>
              <w:top w:w="0" w:type="dxa"/>
              <w:left w:w="105" w:type="dxa"/>
              <w:bottom w:w="0" w:type="dxa"/>
              <w:right w:w="105" w:type="dxa"/>
            </w:tcMar>
            <w:vAlign w:val="center"/>
          </w:tcPr>
          <w:p w14:paraId="20ACDA86">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      实施检查应当不影响当事人的正常生产经营活动与生活。 </w:t>
            </w:r>
          </w:p>
        </w:tc>
      </w:tr>
      <w:tr w14:paraId="7FA54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0" w:hRule="atLeast"/>
          <w:tblCellSpacing w:w="0" w:type="dxa"/>
        </w:trPr>
        <w:tc>
          <w:tcPr>
            <w:tcW w:w="798" w:type="dxa"/>
            <w:shd w:val="clear" w:color="auto" w:fill="auto"/>
            <w:noWrap/>
            <w:tcMar>
              <w:top w:w="0" w:type="dxa"/>
              <w:left w:w="105" w:type="dxa"/>
              <w:bottom w:w="0" w:type="dxa"/>
              <w:right w:w="105" w:type="dxa"/>
            </w:tcMar>
            <w:vAlign w:val="center"/>
          </w:tcPr>
          <w:p w14:paraId="3A00D3EA">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8 </w:t>
            </w:r>
          </w:p>
        </w:tc>
        <w:tc>
          <w:tcPr>
            <w:tcW w:w="1798" w:type="dxa"/>
            <w:vMerge w:val="continue"/>
            <w:vAlign w:val="center"/>
          </w:tcPr>
          <w:p w14:paraId="7A6BE520">
            <w:pPr>
              <w:widowControl/>
              <w:jc w:val="left"/>
              <w:rPr>
                <w:rFonts w:ascii="宋体" w:hAnsi="宋体" w:eastAsia="宋体" w:cs="宋体"/>
                <w:kern w:val="0"/>
                <w:sz w:val="24"/>
                <w:szCs w:val="24"/>
              </w:rPr>
            </w:pPr>
          </w:p>
        </w:tc>
        <w:tc>
          <w:tcPr>
            <w:tcW w:w="6010" w:type="dxa"/>
            <w:shd w:val="clear" w:color="auto" w:fill="auto"/>
            <w:tcMar>
              <w:top w:w="0" w:type="dxa"/>
              <w:left w:w="105" w:type="dxa"/>
              <w:bottom w:w="0" w:type="dxa"/>
              <w:right w:w="105" w:type="dxa"/>
            </w:tcMar>
            <w:vAlign w:val="center"/>
          </w:tcPr>
          <w:p w14:paraId="3B55019A">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      依法告知当事人检查中发现的违法行为及处理意见,对不服处理意见的,可以依法申请行政复议或提起行政诉讼。 </w:t>
            </w:r>
          </w:p>
        </w:tc>
      </w:tr>
      <w:tr w14:paraId="37E6F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5" w:hRule="atLeast"/>
          <w:tblCellSpacing w:w="0" w:type="dxa"/>
        </w:trPr>
        <w:tc>
          <w:tcPr>
            <w:tcW w:w="798" w:type="dxa"/>
            <w:shd w:val="clear" w:color="auto" w:fill="auto"/>
            <w:noWrap/>
            <w:tcMar>
              <w:top w:w="0" w:type="dxa"/>
              <w:left w:w="105" w:type="dxa"/>
              <w:bottom w:w="0" w:type="dxa"/>
              <w:right w:w="105" w:type="dxa"/>
            </w:tcMar>
            <w:vAlign w:val="center"/>
          </w:tcPr>
          <w:p w14:paraId="735E33E6">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9 </w:t>
            </w:r>
          </w:p>
        </w:tc>
        <w:tc>
          <w:tcPr>
            <w:tcW w:w="1798" w:type="dxa"/>
            <w:vMerge w:val="continue"/>
            <w:vAlign w:val="center"/>
          </w:tcPr>
          <w:p w14:paraId="55ADD481">
            <w:pPr>
              <w:widowControl/>
              <w:jc w:val="left"/>
              <w:rPr>
                <w:rFonts w:ascii="宋体" w:hAnsi="宋体" w:eastAsia="宋体" w:cs="宋体"/>
                <w:kern w:val="0"/>
                <w:sz w:val="24"/>
                <w:szCs w:val="24"/>
              </w:rPr>
            </w:pPr>
          </w:p>
        </w:tc>
        <w:tc>
          <w:tcPr>
            <w:tcW w:w="6010" w:type="dxa"/>
            <w:shd w:val="clear" w:color="auto" w:fill="auto"/>
            <w:tcMar>
              <w:top w:w="0" w:type="dxa"/>
              <w:left w:w="105" w:type="dxa"/>
              <w:bottom w:w="0" w:type="dxa"/>
              <w:right w:w="105" w:type="dxa"/>
            </w:tcMar>
            <w:vAlign w:val="center"/>
          </w:tcPr>
          <w:p w14:paraId="24A20741">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color w:val="000000"/>
                <w:kern w:val="0"/>
                <w:sz w:val="24"/>
                <w:szCs w:val="24"/>
              </w:rPr>
              <w:t>      对检查中发现的违法行为应当予以制止和纠正。</w:t>
            </w:r>
            <w:r>
              <w:rPr>
                <w:rFonts w:hint="eastAsia" w:ascii="宋体" w:hAnsi="宋体" w:eastAsia="宋体" w:cs="宋体"/>
                <w:kern w:val="0"/>
                <w:sz w:val="24"/>
                <w:szCs w:val="24"/>
              </w:rPr>
              <w:t xml:space="preserve"> </w:t>
            </w:r>
          </w:p>
        </w:tc>
      </w:tr>
      <w:tr w14:paraId="35E1F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0" w:hRule="atLeast"/>
          <w:tblCellSpacing w:w="0" w:type="dxa"/>
        </w:trPr>
        <w:tc>
          <w:tcPr>
            <w:tcW w:w="798" w:type="dxa"/>
            <w:shd w:val="clear" w:color="auto" w:fill="auto"/>
            <w:noWrap/>
            <w:tcMar>
              <w:top w:w="0" w:type="dxa"/>
              <w:left w:w="105" w:type="dxa"/>
              <w:bottom w:w="0" w:type="dxa"/>
              <w:right w:w="105" w:type="dxa"/>
            </w:tcMar>
            <w:vAlign w:val="center"/>
          </w:tcPr>
          <w:p w14:paraId="38ABBC98">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10 </w:t>
            </w:r>
          </w:p>
        </w:tc>
        <w:tc>
          <w:tcPr>
            <w:tcW w:w="1798" w:type="dxa"/>
            <w:vMerge w:val="continue"/>
            <w:vAlign w:val="center"/>
          </w:tcPr>
          <w:p w14:paraId="78F42E38">
            <w:pPr>
              <w:widowControl/>
              <w:jc w:val="left"/>
              <w:rPr>
                <w:rFonts w:ascii="宋体" w:hAnsi="宋体" w:eastAsia="宋体" w:cs="宋体"/>
                <w:kern w:val="0"/>
                <w:sz w:val="24"/>
                <w:szCs w:val="24"/>
              </w:rPr>
            </w:pPr>
          </w:p>
        </w:tc>
        <w:tc>
          <w:tcPr>
            <w:tcW w:w="6010" w:type="dxa"/>
            <w:shd w:val="clear" w:color="auto" w:fill="auto"/>
            <w:tcMar>
              <w:top w:w="0" w:type="dxa"/>
              <w:left w:w="105" w:type="dxa"/>
              <w:bottom w:w="0" w:type="dxa"/>
              <w:right w:w="105" w:type="dxa"/>
            </w:tcMar>
            <w:vAlign w:val="center"/>
          </w:tcPr>
          <w:p w14:paraId="48B42045">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      实施行政检查中不得乱收费、乱罚款、乱摊派,严禁吃、拿、卡、要。 </w:t>
            </w:r>
          </w:p>
        </w:tc>
      </w:tr>
      <w:tr w14:paraId="0DC55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0" w:hRule="atLeast"/>
          <w:tblCellSpacing w:w="0" w:type="dxa"/>
        </w:trPr>
        <w:tc>
          <w:tcPr>
            <w:tcW w:w="798" w:type="dxa"/>
            <w:shd w:val="clear" w:color="auto" w:fill="auto"/>
            <w:noWrap/>
            <w:tcMar>
              <w:top w:w="0" w:type="dxa"/>
              <w:left w:w="105" w:type="dxa"/>
              <w:bottom w:w="0" w:type="dxa"/>
              <w:right w:w="105" w:type="dxa"/>
            </w:tcMar>
            <w:vAlign w:val="center"/>
          </w:tcPr>
          <w:p w14:paraId="635DED2E">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11 </w:t>
            </w:r>
          </w:p>
        </w:tc>
        <w:tc>
          <w:tcPr>
            <w:tcW w:w="1798" w:type="dxa"/>
            <w:vMerge w:val="continue"/>
            <w:vAlign w:val="center"/>
          </w:tcPr>
          <w:p w14:paraId="10426BCB">
            <w:pPr>
              <w:widowControl/>
              <w:jc w:val="left"/>
              <w:rPr>
                <w:rFonts w:ascii="宋体" w:hAnsi="宋体" w:eastAsia="宋体" w:cs="宋体"/>
                <w:kern w:val="0"/>
                <w:sz w:val="24"/>
                <w:szCs w:val="24"/>
              </w:rPr>
            </w:pPr>
          </w:p>
        </w:tc>
        <w:tc>
          <w:tcPr>
            <w:tcW w:w="6010" w:type="dxa"/>
            <w:shd w:val="clear" w:color="auto" w:fill="auto"/>
            <w:tcMar>
              <w:top w:w="0" w:type="dxa"/>
              <w:left w:w="105" w:type="dxa"/>
              <w:bottom w:w="0" w:type="dxa"/>
              <w:right w:w="105" w:type="dxa"/>
            </w:tcMar>
            <w:vAlign w:val="center"/>
          </w:tcPr>
          <w:p w14:paraId="3CBB5957">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      不得放弃、推诿、拖延、拒绝履行检查职责。 </w:t>
            </w:r>
          </w:p>
        </w:tc>
      </w:tr>
      <w:tr w14:paraId="6F054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5" w:hRule="atLeast"/>
          <w:tblCellSpacing w:w="0" w:type="dxa"/>
        </w:trPr>
        <w:tc>
          <w:tcPr>
            <w:tcW w:w="798" w:type="dxa"/>
            <w:shd w:val="clear" w:color="auto" w:fill="auto"/>
            <w:tcMar>
              <w:top w:w="0" w:type="dxa"/>
              <w:left w:w="105" w:type="dxa"/>
              <w:bottom w:w="0" w:type="dxa"/>
              <w:right w:w="105" w:type="dxa"/>
            </w:tcMar>
            <w:vAlign w:val="center"/>
          </w:tcPr>
          <w:p w14:paraId="71F698EC">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12 </w:t>
            </w:r>
          </w:p>
        </w:tc>
        <w:tc>
          <w:tcPr>
            <w:tcW w:w="1798" w:type="dxa"/>
            <w:shd w:val="clear" w:color="auto" w:fill="auto"/>
            <w:tcMar>
              <w:top w:w="0" w:type="dxa"/>
              <w:left w:w="105" w:type="dxa"/>
              <w:bottom w:w="0" w:type="dxa"/>
              <w:right w:w="105" w:type="dxa"/>
            </w:tcMar>
            <w:vAlign w:val="center"/>
          </w:tcPr>
          <w:p w14:paraId="09A02612">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b/>
                <w:bCs/>
                <w:kern w:val="0"/>
                <w:sz w:val="24"/>
                <w:szCs w:val="24"/>
              </w:rPr>
              <w:t>(三)事后监管</w:t>
            </w:r>
            <w:r>
              <w:rPr>
                <w:rFonts w:hint="eastAsia" w:ascii="宋体" w:hAnsi="宋体" w:eastAsia="宋体" w:cs="宋体"/>
                <w:kern w:val="0"/>
                <w:sz w:val="24"/>
                <w:szCs w:val="24"/>
              </w:rPr>
              <w:t xml:space="preserve"> </w:t>
            </w:r>
          </w:p>
        </w:tc>
        <w:tc>
          <w:tcPr>
            <w:tcW w:w="6010" w:type="dxa"/>
            <w:shd w:val="clear" w:color="auto" w:fill="auto"/>
            <w:tcMar>
              <w:top w:w="0" w:type="dxa"/>
              <w:left w:w="105" w:type="dxa"/>
              <w:bottom w:w="0" w:type="dxa"/>
              <w:right w:w="105" w:type="dxa"/>
            </w:tcMar>
            <w:vAlign w:val="center"/>
          </w:tcPr>
          <w:p w14:paraId="3511B9C8">
            <w:pPr>
              <w:widowControl/>
              <w:spacing w:before="100" w:beforeAutospacing="1" w:after="100" w:afterAutospacing="1"/>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      对检查情况进行汇总、分类、归档备查,并跟踪监测。 </w:t>
            </w:r>
          </w:p>
        </w:tc>
      </w:tr>
    </w:tbl>
    <w:p w14:paraId="3BB3EEA1">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CF3C50"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61A1"/>
    <w:rsid w:val="001361A1"/>
    <w:rsid w:val="006566C4"/>
    <w:rsid w:val="006D7686"/>
    <w:rsid w:val="ADEF9C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character" w:styleId="4">
    <w:name w:val="Strong"/>
    <w:basedOn w:val="3"/>
    <w:qFormat/>
    <w:uiPriority w:val="22"/>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914</Words>
  <Characters>5212</Characters>
  <Lines>43</Lines>
  <Paragraphs>12</Paragraphs>
  <TotalTime>6</TotalTime>
  <ScaleCrop>false</ScaleCrop>
  <LinksUpToDate>false</LinksUpToDate>
  <CharactersWithSpaces>6114</CharactersWithSpaces>
  <Application>WPS Office_12.8.2.17836_F1E327BC-269C-435d-A152-05C5408002CA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2017-09-01T09:16:00Z</dcterms:created>
  <dc:creator>wangpeng</dc:creator>
  <cp:lastModifiedBy>UOS-PC</cp:lastModifiedBy>
  <dcterms:modified xsi:type="dcterms:W3CDTF">2025-02-07T18:44:48Z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2052-12.8.2.17836</vt:lpwstr>
  </property>
  <property fmtid="{D5CDD505-2E9C-101B-9397-08002B2CF9AE}" pid="3" name="ICV">
    <vt:lpwstr>04C3819F46E1E38320E4A567C75D464E_42</vt:lpwstr>
  </property>
</Properties>
</file>